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AD" w:rsidRDefault="004B32A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B32AD" w:rsidRDefault="004B32AD">
      <w:pPr>
        <w:pStyle w:val="ConsPlusNormal"/>
        <w:ind w:firstLine="540"/>
        <w:jc w:val="both"/>
        <w:outlineLvl w:val="0"/>
      </w:pPr>
    </w:p>
    <w:p w:rsidR="004B32AD" w:rsidRDefault="004B32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B32AD" w:rsidRDefault="004B32AD">
      <w:pPr>
        <w:pStyle w:val="ConsPlusTitle"/>
        <w:jc w:val="center"/>
      </w:pPr>
    </w:p>
    <w:p w:rsidR="004B32AD" w:rsidRDefault="004B32AD">
      <w:pPr>
        <w:pStyle w:val="ConsPlusTitle"/>
        <w:jc w:val="center"/>
      </w:pPr>
      <w:r>
        <w:t>ПОСТАНОВЛЕНИЕ</w:t>
      </w:r>
    </w:p>
    <w:p w:rsidR="004B32AD" w:rsidRDefault="004B32AD">
      <w:pPr>
        <w:pStyle w:val="ConsPlusTitle"/>
        <w:jc w:val="center"/>
      </w:pPr>
      <w:r>
        <w:t>от 13 ноября 2013 г. N 1013</w:t>
      </w:r>
    </w:p>
    <w:p w:rsidR="004B32AD" w:rsidRDefault="004B32AD">
      <w:pPr>
        <w:pStyle w:val="ConsPlusTitle"/>
        <w:jc w:val="center"/>
      </w:pPr>
    </w:p>
    <w:p w:rsidR="004B32AD" w:rsidRDefault="004B32AD">
      <w:pPr>
        <w:pStyle w:val="ConsPlusTitle"/>
        <w:jc w:val="center"/>
      </w:pPr>
      <w:r>
        <w:t>О ТЕХНИЧЕСКОМ ОСМОТРЕ</w:t>
      </w:r>
    </w:p>
    <w:p w:rsidR="004B32AD" w:rsidRDefault="004B32AD">
      <w:pPr>
        <w:pStyle w:val="ConsPlusTitle"/>
        <w:jc w:val="center"/>
      </w:pPr>
      <w:r>
        <w:t>САМОХОДНЫХ МАШИН И ДРУГИХ ВИДОВ ТЕХНИКИ, ЗАРЕГИСТРИРОВАННЫХ</w:t>
      </w:r>
    </w:p>
    <w:p w:rsidR="004B32AD" w:rsidRDefault="004B32AD">
      <w:pPr>
        <w:pStyle w:val="ConsPlusTitle"/>
        <w:jc w:val="center"/>
      </w:pPr>
      <w:r>
        <w:t>ОРГАНАМИ, ОСУЩЕСТВЛЯЮЩИМИ ГОСУДАРСТВЕННЫЙ НАДЗОР</w:t>
      </w:r>
    </w:p>
    <w:p w:rsidR="004B32AD" w:rsidRDefault="004B32AD">
      <w:pPr>
        <w:pStyle w:val="ConsPlusTitle"/>
        <w:jc w:val="center"/>
      </w:pPr>
      <w:r>
        <w:t>ЗА ИХ ТЕХНИЧЕСКИМ СОСТОЯНИЕМ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B32AD" w:rsidRDefault="004B32AD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состоянием;</w:t>
      </w:r>
    </w:p>
    <w:p w:rsidR="004B32AD" w:rsidRDefault="004B32AD">
      <w:pPr>
        <w:pStyle w:val="ConsPlusNormal"/>
        <w:spacing w:before="220"/>
        <w:ind w:firstLine="540"/>
        <w:jc w:val="both"/>
      </w:pPr>
      <w:hyperlink w:anchor="P251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2. Установить, что технический осмотр колесных внедорожных мототранспортных средств, зарегистрированных органами, осуществляющими государственный надзор за их техническим состоянием, проводится в соответствии с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5 декабря 2011 г. N 1008.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4B32AD" w:rsidRDefault="004B32A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февраля 2002 г. N 117 "О порядке проведения государственного технического осмотра тракторов, самоходных дорожно-строительных и иных машин и прицепов к ним, зарегистрированных органами государственного надзора за техническим состоянием самоходных машин и других видов техники в Российской Федерации" (Собрание законодательства Российской Федерации, 2002, N 8, ст. 846);</w:t>
      </w:r>
    </w:p>
    <w:p w:rsidR="004B32AD" w:rsidRDefault="004B32A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5</w:t>
        </w:r>
      </w:hyperlink>
      <w: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постановлением Правительства Российской Федерации от 7 мая 2003 г. N 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Федерации, 2003, N 20, ст. 1899).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4. Установить, что документы о прохождении государственного технического осмотра, выданные в отношении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максимальной мощностью более 4 киловатт, прицепов к ним и которые зарегистрированы органами, осуществляющими государственный надзор за техническим состоянием самоходных машин и других видов техники, до вступления в силу настоящего постановления, действительны до окончания указанного в них срока действия.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5. Министерству сельского хозяйства Российской Федерации утвердить методические </w:t>
      </w:r>
      <w:r>
        <w:lastRenderedPageBreak/>
        <w:t xml:space="preserve">рекомендации по применению </w:t>
      </w:r>
      <w:hyperlink w:anchor="P35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right"/>
      </w:pPr>
      <w:r>
        <w:t>Председатель Правительства</w:t>
      </w:r>
    </w:p>
    <w:p w:rsidR="004B32AD" w:rsidRDefault="004B32AD">
      <w:pPr>
        <w:pStyle w:val="ConsPlusNormal"/>
        <w:jc w:val="right"/>
      </w:pPr>
      <w:r>
        <w:t>Российской Федерации</w:t>
      </w:r>
    </w:p>
    <w:p w:rsidR="004B32AD" w:rsidRDefault="004B32AD">
      <w:pPr>
        <w:pStyle w:val="ConsPlusNormal"/>
        <w:jc w:val="right"/>
      </w:pPr>
      <w:r>
        <w:t>Д.МЕДВЕДЕВ</w:t>
      </w:r>
    </w:p>
    <w:p w:rsidR="004B32AD" w:rsidRDefault="004B32AD">
      <w:pPr>
        <w:pStyle w:val="ConsPlusNormal"/>
        <w:jc w:val="right"/>
      </w:pPr>
    </w:p>
    <w:p w:rsidR="004B32AD" w:rsidRDefault="004B32AD">
      <w:pPr>
        <w:pStyle w:val="ConsPlusNormal"/>
        <w:jc w:val="right"/>
      </w:pPr>
    </w:p>
    <w:p w:rsidR="004B32AD" w:rsidRDefault="004B32AD">
      <w:pPr>
        <w:pStyle w:val="ConsPlusNormal"/>
        <w:jc w:val="right"/>
      </w:pPr>
    </w:p>
    <w:p w:rsidR="004B32AD" w:rsidRDefault="004B32AD">
      <w:pPr>
        <w:pStyle w:val="ConsPlusNormal"/>
        <w:jc w:val="right"/>
      </w:pPr>
    </w:p>
    <w:p w:rsidR="004B32AD" w:rsidRDefault="004B32AD">
      <w:pPr>
        <w:pStyle w:val="ConsPlusNormal"/>
        <w:jc w:val="right"/>
      </w:pPr>
    </w:p>
    <w:p w:rsidR="004B32AD" w:rsidRDefault="004B32AD">
      <w:pPr>
        <w:pStyle w:val="ConsPlusNormal"/>
        <w:jc w:val="right"/>
        <w:outlineLvl w:val="0"/>
      </w:pPr>
      <w:r>
        <w:t>Утверждены</w:t>
      </w:r>
    </w:p>
    <w:p w:rsidR="004B32AD" w:rsidRDefault="004B32AD">
      <w:pPr>
        <w:pStyle w:val="ConsPlusNormal"/>
        <w:jc w:val="right"/>
      </w:pPr>
      <w:r>
        <w:t>постановлением Правительства</w:t>
      </w:r>
    </w:p>
    <w:p w:rsidR="004B32AD" w:rsidRDefault="004B32AD">
      <w:pPr>
        <w:pStyle w:val="ConsPlusNormal"/>
        <w:jc w:val="right"/>
      </w:pPr>
      <w:r>
        <w:t>Российской Федерации</w:t>
      </w:r>
    </w:p>
    <w:p w:rsidR="004B32AD" w:rsidRDefault="004B32AD">
      <w:pPr>
        <w:pStyle w:val="ConsPlusNormal"/>
        <w:jc w:val="right"/>
      </w:pPr>
      <w:r>
        <w:t>от 13 ноября 2013 г. N 1013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Title"/>
        <w:jc w:val="center"/>
      </w:pPr>
      <w:bookmarkStart w:id="0" w:name="P35"/>
      <w:bookmarkEnd w:id="0"/>
      <w:r>
        <w:t>ПРАВИЛА</w:t>
      </w:r>
    </w:p>
    <w:p w:rsidR="004B32AD" w:rsidRDefault="004B32AD">
      <w:pPr>
        <w:pStyle w:val="ConsPlusTitle"/>
        <w:jc w:val="center"/>
      </w:pPr>
      <w:r>
        <w:t>ПРОВЕДЕНИЯ ТЕХНИЧЕСКОГО ОСМОТРА САМОХОДНЫХ МАШИН И ДРУГИХ</w:t>
      </w:r>
    </w:p>
    <w:p w:rsidR="004B32AD" w:rsidRDefault="004B32AD">
      <w:pPr>
        <w:pStyle w:val="ConsPlusTitle"/>
        <w:jc w:val="center"/>
      </w:pPr>
      <w:r>
        <w:t>ВИДОВ ТЕХНИКИ, ЗАРЕГИСТРИРОВАННЫХ ОРГАНАМИ, ОСУЩЕСТВЛЯЮЩИМИ</w:t>
      </w:r>
    </w:p>
    <w:p w:rsidR="004B32AD" w:rsidRDefault="004B32AD">
      <w:pPr>
        <w:pStyle w:val="ConsPlusTitle"/>
        <w:jc w:val="center"/>
      </w:pPr>
      <w:r>
        <w:t>ГОСУДАРСТВЕННЫЙ НАДЗОР ЗА ИХ ТЕХНИЧЕСКИМ СОСТОЯНИЕМ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1. Настоящие Правила устанавливают порядок и периодичность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(далее - органы гостехнадзора).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 настоящих Правилах под самоходными машинами и другими видами техники (далее - машины) понимаются тракторы, самоходные дорожно-строительные и иные машины, за исключением колесных внедорожных мототранспортных средств, которые имеют двигатель внутреннего сгорания объемом более 50 куб. сантиметров или электродвигатель максимальной мощностью более 4 киловатт, прицепы к ним.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2. Технический осмотр машин организуется и проводится органами гостехнадзора.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3. За выдачу документов о прохождении технического осмотра машин взимается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4. К машинам отдельных видов при проведении их технического осмотра предъявляются требования (включая параметры), предъявляемые при проведении технического осмотра к машинам отдельных видов, согласно </w:t>
      </w:r>
      <w:hyperlink w:anchor="P95" w:history="1">
        <w:r>
          <w:rPr>
            <w:color w:val="0000FF"/>
          </w:rPr>
          <w:t>приложению</w:t>
        </w:r>
      </w:hyperlink>
      <w:r>
        <w:t xml:space="preserve"> (далее - требования безопасности).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5. Машины подлежат техническому осмотру со следующей периодичностью: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а) внедорожные автотранспортные средства, предназначенные для перевозки пассажиров и имеющие помимо сиденья водителя более 8 сидячих мест, - каждые 6 месяцев;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остальные машины - ежегодно.</w:t>
      </w:r>
    </w:p>
    <w:p w:rsidR="004B32AD" w:rsidRDefault="004B32AD">
      <w:pPr>
        <w:pStyle w:val="ConsPlusNormal"/>
        <w:spacing w:before="220"/>
        <w:ind w:firstLine="540"/>
        <w:jc w:val="both"/>
      </w:pPr>
      <w:bookmarkStart w:id="1" w:name="P48"/>
      <w:bookmarkEnd w:id="1"/>
      <w:r>
        <w:t>6. Первый технический осмотр машин проводится непосредственно после их регистрации органами гостехнадзора.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В отношении машин, с даты изготовления которых прошло не более одного года и которые не были в эксплуатации (за исключением внедорожных автотранспортных средств, предназначенных для перевозки пассажиров и имеющих помимо сиденья водителя более 8 сидячих мест), первый технический осмотр проводится без проверки их технического состояния с </w:t>
      </w:r>
      <w:r>
        <w:lastRenderedPageBreak/>
        <w:t xml:space="preserve">выдачей свидетельства о прохождении технического осмотра, предусмотренного </w:t>
      </w:r>
      <w:hyperlink w:anchor="P69" w:history="1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Последующие технические осмотры машин проводятся (по выбору владельца машины):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 месте, в день и во время, которые определены органом гостехнадзора субъекта Российской Федерации исходя из установленной настоящими Правилами периодичности технического осмотра машин, количества зарегистрированных указанным органом машин, их местонахождения, сезонности использования и наличия места для проведения технического осмотра. Указанная информация размещается на официальном сайте этого органа в информационно-телекоммуникационной сети "Интернет";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по месту нахождения органа гостехнадзора независимо от места регистрации машин в согласованные с указанным органом день и время.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7. Проведение технического осмотра включает в себя: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а) проверку наличия документов, предусмотренных </w:t>
      </w:r>
      <w:hyperlink w:anchor="P58" w:history="1">
        <w:r>
          <w:rPr>
            <w:color w:val="0000FF"/>
          </w:rPr>
          <w:t>пунктом 8</w:t>
        </w:r>
      </w:hyperlink>
      <w:r>
        <w:t xml:space="preserve"> настоящих Правил, а также информации об уплате государственной пошлины за выдачу документа о прохождении технического осмотра машины;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проверку соответствия машин данным, указанным в представленных документах, и идентификацию машин;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в) проверку технического состояния машин (за исключением машин, в отношении которых в соответствии с </w:t>
      </w:r>
      <w:hyperlink w:anchor="P48" w:history="1">
        <w:r>
          <w:rPr>
            <w:color w:val="0000FF"/>
          </w:rPr>
          <w:t>пунктом 6</w:t>
        </w:r>
      </w:hyperlink>
      <w:r>
        <w:t xml:space="preserve"> настоящих Правил первый технический осмотр производится без проверки их технического состояния);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г) оформление документов о прохождении технического осмотра.</w:t>
      </w:r>
    </w:p>
    <w:p w:rsidR="004B32AD" w:rsidRDefault="004B32AD">
      <w:pPr>
        <w:pStyle w:val="ConsPlusNormal"/>
        <w:spacing w:before="220"/>
        <w:ind w:firstLine="540"/>
        <w:jc w:val="both"/>
      </w:pPr>
      <w:bookmarkStart w:id="2" w:name="P58"/>
      <w:bookmarkEnd w:id="2"/>
      <w:r>
        <w:t>8. Для прохождения технического осмотра машины владелец машины или его представитель (далее - заявитель) представляет машину и следующие документы: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а) документ, удостоверяющий личность заявителя;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доверенность или иной документ, подтверждающий полномочия представителя владельца машины (для представителя владельца машины);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в) документ, подтверждающий право заявителя на управление машиной, представленной для прохождения технического осмотра;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г) свидетельство о регистрации машины;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д) </w:t>
      </w:r>
      <w:hyperlink r:id="rId9" w:history="1">
        <w:r>
          <w:rPr>
            <w:color w:val="0000FF"/>
          </w:rPr>
          <w:t>страховой полис</w:t>
        </w:r>
      </w:hyperlink>
      <w:r>
        <w:t xml:space="preserve"> обязательного страхования гражданской ответственности владельца транспортного средства (в случаях, когда обязанность по страхованию гражданской ответственности владельца транспортного средства установлена федеральным </w:t>
      </w:r>
      <w:hyperlink r:id="rId10" w:history="1">
        <w:r>
          <w:rPr>
            <w:color w:val="0000FF"/>
          </w:rPr>
          <w:t>законом</w:t>
        </w:r>
      </w:hyperlink>
      <w:r>
        <w:t>).</w:t>
      </w:r>
    </w:p>
    <w:p w:rsidR="004B32AD" w:rsidRDefault="004B32AD">
      <w:pPr>
        <w:pStyle w:val="ConsPlusNormal"/>
        <w:spacing w:before="220"/>
        <w:ind w:firstLine="540"/>
        <w:jc w:val="both"/>
      </w:pPr>
      <w:bookmarkStart w:id="3" w:name="P64"/>
      <w:bookmarkEnd w:id="3"/>
      <w:r>
        <w:t>9. Информацию об уплате государственной пошлины за выдачу документа о прохождении технического осмотра машины орган гостехнадзора получает с использованием единой системы межведомственного электронного взаимодействия.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Документ об уплате указанной государственной пошлины может быть представлен в орган гостехнадзора заявителем по собственной инициативе.</w:t>
      </w:r>
    </w:p>
    <w:p w:rsidR="004B32AD" w:rsidRDefault="004B32AD">
      <w:pPr>
        <w:pStyle w:val="ConsPlusNormal"/>
        <w:spacing w:before="220"/>
        <w:ind w:firstLine="540"/>
        <w:jc w:val="both"/>
      </w:pPr>
      <w:bookmarkStart w:id="4" w:name="P66"/>
      <w:bookmarkEnd w:id="4"/>
      <w:r>
        <w:t xml:space="preserve">10. В случае непредставления документов, предусмотренных </w:t>
      </w:r>
      <w:hyperlink w:anchor="P58" w:history="1">
        <w:r>
          <w:rPr>
            <w:color w:val="0000FF"/>
          </w:rPr>
          <w:t>пунктом 8</w:t>
        </w:r>
      </w:hyperlink>
      <w:r>
        <w:t xml:space="preserve"> настоящих Правил, в полном объеме, или отсутствия информации об уплате государственной пошлины за выдачу документа о прохождении технического осмотра машины, или несоответствия машины данным, </w:t>
      </w:r>
      <w:r>
        <w:lastRenderedPageBreak/>
        <w:t xml:space="preserve">указанным в представленных документах, проверка технического состояния машины не проводится и составляется акт технического осмотра, предусмотренный </w:t>
      </w:r>
      <w:hyperlink w:anchor="P69" w:history="1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11. Техническое диагностирование проводится методами визуального, органолептического контроля с использованием средств технического диагностирования, в том числе передвижных средств.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Основные технические характеристики и перечни средств технического диагностирования утверждаются Министерством сельского хозяйства Российской Федерации.</w:t>
      </w:r>
    </w:p>
    <w:p w:rsidR="004B32AD" w:rsidRDefault="004B32AD">
      <w:pPr>
        <w:pStyle w:val="ConsPlusNormal"/>
        <w:spacing w:before="220"/>
        <w:ind w:firstLine="540"/>
        <w:jc w:val="both"/>
      </w:pPr>
      <w:bookmarkStart w:id="5" w:name="P69"/>
      <w:bookmarkEnd w:id="5"/>
      <w:r>
        <w:t>12. По результатам технического осмотра машины оформляется один из следующих документов о прохождении технического осмотра: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а) свидетельство о прохождении технического осмотра (в случае соответствия машины требованиям безопасности);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б) акт технического осмотра (в случае выявления несоответствия машины какому-либо из требований безопасности, а также в случаях, предусмотренных </w:t>
      </w:r>
      <w:hyperlink w:anchor="P66" w:history="1">
        <w:r>
          <w:rPr>
            <w:color w:val="0000FF"/>
          </w:rPr>
          <w:t>пунктом 10</w:t>
        </w:r>
      </w:hyperlink>
      <w:r>
        <w:t xml:space="preserve"> настоящих Правил).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13. Свидетельство о прохождении технического осмотра действует в отношении: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внедорожных автотранспортных средств, предназначенных для перевозки пассажиров и имеющих помимо сиденья водителя более 8 сидячих мест, - в течение 6 месяцев со дня его выдачи;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остальных машин - в течение календарного года.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В случае утраты или порчи свидетельства о прохождении технического осмотра в течение срока его действия соответствующий дубликат выдается органом гостехнадзора, оформившим указанное свидетельство, по заявлению владельца машины или его представителя после получения органом гостехнадзора информации об уплате государственной пошлины в порядке, предусмотренном </w:t>
      </w:r>
      <w:hyperlink w:anchor="P64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Бланк свидетельства о прохождении технического осмотра является документом строгой отчетности и защищенной полиграфической продукцией уровня "Б".</w:t>
      </w:r>
    </w:p>
    <w:p w:rsidR="004B32AD" w:rsidRDefault="004B32A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Форма</w:t>
        </w:r>
      </w:hyperlink>
      <w:r>
        <w:t xml:space="preserve"> бланка свидетельства о прохождении технического осмотра, а также порядок его заполнения, хранения и уничтожения утверждаются Министерством сельского хозяйства Российской Федерации.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14. В случае выявления несоответствия машины какому-либо из требований безопасности в акте технического осмотра указываются параметры машины, в отношении которых установлено такое несоответствие.</w:t>
      </w:r>
    </w:p>
    <w:p w:rsidR="004B32AD" w:rsidRDefault="004B32A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Форма</w:t>
        </w:r>
      </w:hyperlink>
      <w:r>
        <w:t xml:space="preserve"> акта технического осмотра и </w:t>
      </w:r>
      <w:hyperlink r:id="rId13" w:history="1">
        <w:r>
          <w:rPr>
            <w:color w:val="0000FF"/>
          </w:rPr>
          <w:t>порядок</w:t>
        </w:r>
      </w:hyperlink>
      <w:r>
        <w:t xml:space="preserve"> его заполнения утверждаются Министерством сельского хозяйства Российской Федерации.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15. Машина, в отношении которой оформлен акт технического осмотра, подлежит повторному техническому осмотру.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При представлении машины для прохождения повторного технического осмотра в течение 20 дней со дня оформления акта технического осмотра, содержащего сведения о несоответствии машины какому-либо из требований безопасности, органу гостехнадзора, оформившему такой акт, проверка технического состояния машины проводится только в отношении указанных в этом акте параметров машины, по которым установлено такое несоответствие.</w:t>
      </w: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jc w:val="right"/>
        <w:outlineLvl w:val="1"/>
      </w:pPr>
      <w:r>
        <w:t>Приложение</w:t>
      </w:r>
    </w:p>
    <w:p w:rsidR="004B32AD" w:rsidRDefault="004B32AD">
      <w:pPr>
        <w:pStyle w:val="ConsPlusNormal"/>
        <w:jc w:val="right"/>
      </w:pPr>
      <w:r>
        <w:t>к Правилам проведения</w:t>
      </w:r>
    </w:p>
    <w:p w:rsidR="004B32AD" w:rsidRDefault="004B32AD">
      <w:pPr>
        <w:pStyle w:val="ConsPlusNormal"/>
        <w:jc w:val="right"/>
      </w:pPr>
      <w:r>
        <w:t>технического осмотра самоходных</w:t>
      </w:r>
    </w:p>
    <w:p w:rsidR="004B32AD" w:rsidRDefault="004B32AD">
      <w:pPr>
        <w:pStyle w:val="ConsPlusNormal"/>
        <w:jc w:val="right"/>
      </w:pPr>
      <w:r>
        <w:t>машин и других видов техники,</w:t>
      </w:r>
    </w:p>
    <w:p w:rsidR="004B32AD" w:rsidRDefault="004B32AD">
      <w:pPr>
        <w:pStyle w:val="ConsPlusNormal"/>
        <w:jc w:val="right"/>
      </w:pPr>
      <w:r>
        <w:t>зарегистрированных органами,</w:t>
      </w:r>
    </w:p>
    <w:p w:rsidR="004B32AD" w:rsidRDefault="004B32AD">
      <w:pPr>
        <w:pStyle w:val="ConsPlusNormal"/>
        <w:jc w:val="right"/>
      </w:pPr>
      <w:r>
        <w:t>осуществляющими государственный</w:t>
      </w:r>
    </w:p>
    <w:p w:rsidR="004B32AD" w:rsidRDefault="004B32AD">
      <w:pPr>
        <w:pStyle w:val="ConsPlusNormal"/>
        <w:jc w:val="right"/>
      </w:pPr>
      <w:r>
        <w:t>надзор за их техническим состоянием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</w:pPr>
      <w:bookmarkStart w:id="6" w:name="P95"/>
      <w:bookmarkEnd w:id="6"/>
      <w:r>
        <w:t>ТРЕБОВАНИЯ</w:t>
      </w:r>
    </w:p>
    <w:p w:rsidR="004B32AD" w:rsidRDefault="004B32AD">
      <w:pPr>
        <w:pStyle w:val="ConsPlusNormal"/>
        <w:jc w:val="center"/>
      </w:pPr>
      <w:r>
        <w:t>(ВКЛЮЧАЯ ПАРАМЕТРЫ), ПРЕДЪЯВЛЯЕМЫЕ ПРИ ПРОВЕДЕНИИ</w:t>
      </w:r>
    </w:p>
    <w:p w:rsidR="004B32AD" w:rsidRDefault="004B32AD">
      <w:pPr>
        <w:pStyle w:val="ConsPlusNormal"/>
        <w:jc w:val="center"/>
      </w:pPr>
      <w:r>
        <w:t>ТЕХНИЧЕСКОГО ОСМОТРА К МАШИНАМ ОТДЕЛЬНЫХ ВИДОВ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I. Тормозные системы</w:t>
      </w: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  <w:r>
        <w:t>1. Тормозные системы должны соответствовать показателям эффективности торможения и устойчивости транспортного средства при торможении: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а) для тракторов и самоходных машин - согласно </w:t>
      </w:r>
      <w:hyperlink r:id="rId14" w:history="1">
        <w:r>
          <w:rPr>
            <w:color w:val="0000FF"/>
          </w:rPr>
          <w:t>пункту 3.17</w:t>
        </w:r>
      </w:hyperlink>
      <w:r>
        <w:t xml:space="preserve"> ГОСТ 12.2.019;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для тракторов малогабаритных - согласно пункту 4.20 ГОСТ 12.2.140;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в) для прицепов и полуприцепов тракторных - согласно </w:t>
      </w:r>
      <w:hyperlink r:id="rId15" w:history="1">
        <w:r>
          <w:rPr>
            <w:color w:val="0000FF"/>
          </w:rPr>
          <w:t>пункту 5.5</w:t>
        </w:r>
      </w:hyperlink>
      <w:r>
        <w:t xml:space="preserve"> ГОСТ Р 52746;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г) для самоходных дорожно-строительных машин - согласно </w:t>
      </w:r>
      <w:hyperlink r:id="rId16" w:history="1">
        <w:r>
          <w:rPr>
            <w:color w:val="0000FF"/>
          </w:rPr>
          <w:t>пунктам 4.3</w:t>
        </w:r>
      </w:hyperlink>
      <w:r>
        <w:t xml:space="preserve"> - </w:t>
      </w:r>
      <w:hyperlink r:id="rId17" w:history="1">
        <w:r>
          <w:rPr>
            <w:color w:val="0000FF"/>
          </w:rPr>
          <w:t>4.5</w:t>
        </w:r>
      </w:hyperlink>
      <w:r>
        <w:t xml:space="preserve"> ГОСТ Р ИСО 3450;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д) для лесопромышленных и лесохозяйственных колесных тракторов, лесозаготовительных и лесохозяйственных колесных машин - согласно пунктам 7.5 и 7.6 ГОСТ Р ИСО 11169;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е) для лесопромышленных и лесохозяйственных гусеничных тракторов, лесозаготовительных и лесохозяйственных гусеничных машин - согласно пунктам 6.1.1 и 6.1.2 ГОСТ Р ИСО 11512;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ж) для снегоходов - согласно </w:t>
      </w:r>
      <w:hyperlink r:id="rId18" w:history="1">
        <w:r>
          <w:rPr>
            <w:color w:val="0000FF"/>
          </w:rPr>
          <w:t>пункту 5.3</w:t>
        </w:r>
      </w:hyperlink>
      <w:r>
        <w:t xml:space="preserve"> ГОСТ Р 50944;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з) для снегоболотоходов - согласно </w:t>
      </w:r>
      <w:hyperlink r:id="rId19" w:history="1">
        <w:r>
          <w:rPr>
            <w:color w:val="0000FF"/>
          </w:rPr>
          <w:t>пункту 5.3</w:t>
        </w:r>
      </w:hyperlink>
      <w:r>
        <w:t xml:space="preserve"> ГОСТ Р 50943;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и) для погрузчиков, штабелеров - согласно </w:t>
      </w:r>
      <w:hyperlink r:id="rId20" w:history="1">
        <w:r>
          <w:rPr>
            <w:color w:val="0000FF"/>
          </w:rPr>
          <w:t>пунктам 3.2</w:t>
        </w:r>
      </w:hyperlink>
      <w:r>
        <w:t xml:space="preserve"> и </w:t>
      </w:r>
      <w:hyperlink r:id="rId21" w:history="1">
        <w:r>
          <w:rPr>
            <w:color w:val="0000FF"/>
          </w:rPr>
          <w:t>4.1</w:t>
        </w:r>
      </w:hyperlink>
      <w:r>
        <w:t xml:space="preserve"> ГОСТ Р 51348.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2. Рабочая тормозная система тракторных поездов с пневматическим тормозным приводом в режиме аварийного (автоматического) торможения должна быть работоспособна.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3. Утечка сжатого воздуха из соединений и элементов тормозной системы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4. Подтекание тормозной жидкости и (или) нарушение герметичности трубопроводов либо соединений в гидравлическом тормозном приводе не допускаются.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5. Коррозия, грозящая потерей герметичности или разрушением,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6. Механическое повреждение тормозных трубопроводов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7. Наличие деталей с трещинами или остаточной деформацией в тормозном приводе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lastRenderedPageBreak/>
        <w:t>8. Средства сигнализации и контроля тормозных систем,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9. Набухание тормозных шлангов под давлением и (или) наличие трещин на них и видимых мест перетирания не допускаются.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10.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(полуприцепа).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II. Рулевое управление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11.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(при его наличии)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12. Самопроизвольный поворот рулевого колеса с усилителем рулевого управления от нейтрального положения при работающем двигателе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13. Суммарный люфт в рулевом управлении не должен превышать предельные значения, установленные изготовителем в эксплуатационной документации, или в случае отсутствия данных, установленных изготовителем, - следующие предельные значения: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для тракторов, включая малогабаритные, и самоходных сельскохозяйственных машин - не более 25 градусов;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для снегоходов и снегоболотоходов - не более 15 градусов.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14. Повреждение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(в эксплуатационной документации), не допускаются. Резьбовые соединения должны быть затянуты и зафиксированы способом, предусмотренным изготовителем.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15. Применение в рулевом механизме и рулевом приводе деталей со следами остаточной деформации, с трещинами и другими дефектами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16. Максимальный угол поворота рулевого колеса (руля) должен ограничиваться только устройствами, предусмотренными конструкцией машины.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III. Механизм управления машин на гусеничном ходу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17. Свободный ход рукояток рычагов управления муфтами поворота не должен отклоняться от значений, допускаемых изготовителем.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18. Должен обеспечиваться полный разрыв потока мощности в сторону поворота при полном перемещении рычага управления на себя.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19. Свободный ход тормозных педалей не должен превышать значения, установленные изготовителем.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20. Различная величина свободного хода тормозных педалей не допускается.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lastRenderedPageBreak/>
        <w:t>IV. Внешние световые приборы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21. Применение устройств освещения и световой сигнализации определяется: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а) для сельскохозяйственных и лесных тракторов - </w:t>
      </w:r>
      <w:hyperlink r:id="rId22" w:history="1">
        <w:r>
          <w:rPr>
            <w:color w:val="0000FF"/>
          </w:rPr>
          <w:t>ГОСТ Р 41.86</w:t>
        </w:r>
      </w:hyperlink>
      <w:r>
        <w:t>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для тракторов малогабаритных - пунктами 8.2 и 8.3 ГОСТ 12.2.140;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в) для самоходных сельскохозяйственных машин - </w:t>
      </w:r>
      <w:hyperlink r:id="rId23" w:history="1">
        <w:r>
          <w:rPr>
            <w:color w:val="0000FF"/>
          </w:rPr>
          <w:t>пунктом 8.6</w:t>
        </w:r>
      </w:hyperlink>
      <w:r>
        <w:t xml:space="preserve"> ГОСТ 12.2.019;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г) для прицепов и полуприцепов тракторных - </w:t>
      </w:r>
      <w:hyperlink r:id="rId24" w:history="1">
        <w:r>
          <w:rPr>
            <w:color w:val="0000FF"/>
          </w:rPr>
          <w:t>ГОСТ 8769</w:t>
        </w:r>
      </w:hyperlink>
      <w:r>
        <w:t>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д) для снегоходов - </w:t>
      </w:r>
      <w:hyperlink r:id="rId25" w:history="1">
        <w:r>
          <w:rPr>
            <w:color w:val="0000FF"/>
          </w:rPr>
          <w:t>пунктами 5.2.21</w:t>
        </w:r>
      </w:hyperlink>
      <w:r>
        <w:t xml:space="preserve"> и </w:t>
      </w:r>
      <w:hyperlink r:id="rId26" w:history="1">
        <w:r>
          <w:rPr>
            <w:color w:val="0000FF"/>
          </w:rPr>
          <w:t>5.2.22</w:t>
        </w:r>
      </w:hyperlink>
      <w:r>
        <w:t xml:space="preserve"> ГОСТ Р 50944;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е) для снегоболотоходов - пунктами 5.2.21 и 5.2.22 </w:t>
      </w:r>
      <w:hyperlink r:id="rId27" w:history="1">
        <w:r>
          <w:rPr>
            <w:color w:val="0000FF"/>
          </w:rPr>
          <w:t>ГОСТ Р 50943</w:t>
        </w:r>
      </w:hyperlink>
      <w:r>
        <w:t>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22. Разрушение и отсутствие рассеивателей световых приборов либо использование рассеивателей и ламп, не соответствующих типу данного светового прибора, не допускаются.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23.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24. Установка спереди машины световых приборов с огнями красного цвета или световозвращателей красного цвета, а сзади - белого цвета, кроме фонарей заднего хода и освещения регистрационного знака,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25. На машинах, выполняющих работы по строительству, ремонту или содержанию дорог, а также на машинах, передвигающихся по дорогам общего пользования со скоростью 20 км/ч и более и имеющих ширину более 2,55 метра, должны устанавливаться специальные световые сигналы (проблесковые маячки) желтого или оранжевого цвета. Количество и расположение проблесковых маячков должны обеспечивать их видимость на 360 градусов в горизонтальной плоскости, проходящей через центр источника излучения света.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V. Стеклоочистители и стеклоомыватели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26. Машины, имеющие кабину, должны оснащаться хотя бы одним стеклоочистителем.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27. Применение стеклоочистителей и стеклоомывателей для сельскохозяйственных и лесных тракторов, самоходных сельскохозяйственных машин должно соответствовать </w:t>
      </w:r>
      <w:hyperlink r:id="rId28" w:history="1">
        <w:r>
          <w:rPr>
            <w:color w:val="0000FF"/>
          </w:rPr>
          <w:t>пунктам 4.1</w:t>
        </w:r>
      </w:hyperlink>
      <w:r>
        <w:t xml:space="preserve"> и </w:t>
      </w:r>
      <w:hyperlink r:id="rId29" w:history="1">
        <w:r>
          <w:rPr>
            <w:color w:val="0000FF"/>
          </w:rPr>
          <w:t>4.2</w:t>
        </w:r>
      </w:hyperlink>
      <w:r>
        <w:t xml:space="preserve"> ГОСТ 12.2.120.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28. Стеклоочистители и стеклоомыватели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29. Стеклоомыватель должен обеспечивать подачу жидкости в зону очистки стекла.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VI. Колеса, шины и гусеницы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30. Шины колес должны иметь остаточную высоту почвозацепов (рисунка протектора):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а) ведущих колес: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не менее 5 мм - для тракторов класса до 2 т включительно;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не менее 10 мм - для тракторов класса 3 т и выше;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управляемых колес: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lastRenderedPageBreak/>
        <w:t>не менее 2 мм - для тракторов класса до 2 т включительно;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не менее 10 мм - для тракторов класса 3 т и выше;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в) колес прицепов - не менее 1 мм.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31. Шины не должны иметь внешние повреждения (пробоины, порезы, разрывы), обнажающие корд, расслоение каркаса, отслоение протектора и боковины.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32. Отсутствие хотя бы одного болта или гайки крепления дисков и ободьев колес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33. Наличие трещин на дисках и ободьях колес, а также следов устранения их сваркой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34. Видимое нарушение формы и (или) размеров крепежных отверстий в дисках колес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35. Шины по размеру или допустимой нагрузке должны соответствовать модели машины.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36. Установка на одной оси шин различных размеров, конструкций, моделей, с разными рисунками протектора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37. Давление в шинах не должно превышать значения, указанные в маркировке шин. Разность давлений в левых и правых шинах должна быть не более 0,01 МПа (0,1 кгс/см2).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38. Провисание гусеничных цепей машин на гусеничном ходу не должно превышать значение, предусмотренное изготовителем, а если такое значение отсутствует - не должно превышать 65 мм.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39. Остаточная высота почвозацепов машин на гусеничном ходу должна быть не менее 7 мм.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40. Число звеньев в левой и правой гусеничных цепях должно быть одинаково.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41. Наличие трещин и изломов в звеньях гусеничной цепи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42. Разность провисаний левой и правой гусеничных цепей не должна превышать значение, предусмотренное изготовителем, а если такое значение отсутствует - не должна превышать 5 мм.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VII. Двигатель и его системы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 xml:space="preserve">43. Уровень дымности отработавших газов для тракторов, самоходных дорожно-строительных и иных самоходных машин с дизелями должен соответствовать </w:t>
      </w:r>
      <w:hyperlink r:id="rId30" w:history="1">
        <w:r>
          <w:rPr>
            <w:color w:val="0000FF"/>
          </w:rPr>
          <w:t>ГОСТ Р 17.2.2.02</w:t>
        </w:r>
      </w:hyperlink>
      <w:r>
        <w:t>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44. Содержание загрязняющих веществ в отработавших газах машин с бензиновыми двигателями должно соответствовать требованиям, предусмотренным изготовителем.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45. Содержание окиси углерода в отработавших газах при минимальной устойчивой частоте вращения коленчатого вала двигателя снегоходов, четырехколесных внедорожных мототранспортных средств и снегоболотоходов не должно превышать 4,5 процента (в объемных долях).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46. Подтекание и каплепадение топлива в системе питания бензиновых и дизельных двигателей не допускаются.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47. Запорные устройства топливных баков и устройства перекрытия топлива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lastRenderedPageBreak/>
        <w:t>48. Система питания машин, предназначенная для работы на компримированном природном газе, сжиженном природном газе и сжиженном углеводородном газе, должна быть герметична. На наружную поверхность газовых баллонов машин, оснащенных такой системой питания, должны наноситься их паспортные данные, в том числе дата действующего и последующего освидетельствования. Не допускается использование газовых баллонов с истекшим сроком их периодического освидетельствования.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49. Выпускные системы двигателей должны быть исправными и комплектными.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jc w:val="center"/>
        <w:outlineLvl w:val="2"/>
      </w:pPr>
      <w:r>
        <w:t>VIII. Прочие элементы конструкции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>50. Тракторы и самоходные дорожно-строительные машины должны укомплектовываться зеркалами заднего вида слева и справа.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Снегоходы (кроме снегоходов категории S1 по </w:t>
      </w:r>
      <w:hyperlink r:id="rId31" w:history="1">
        <w:r>
          <w:rPr>
            <w:color w:val="0000FF"/>
          </w:rPr>
          <w:t>ГОСТ Р 50944</w:t>
        </w:r>
      </w:hyperlink>
      <w:r>
        <w:t xml:space="preserve">) должны оборудоваться зеркалом заднего вида. Установленные на снегоходах зеркала должны соответствовать требованиям </w:t>
      </w:r>
      <w:hyperlink r:id="rId32" w:history="1">
        <w:r>
          <w:rPr>
            <w:color w:val="0000FF"/>
          </w:rPr>
          <w:t>пункта 5.4.2</w:t>
        </w:r>
      </w:hyperlink>
      <w:r>
        <w:t xml:space="preserve"> ГОСТ Р 50944.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Снегоболотоходы (кроме снегоболотоходов категории SB1 по </w:t>
      </w:r>
      <w:hyperlink r:id="rId33" w:history="1">
        <w:r>
          <w:rPr>
            <w:color w:val="0000FF"/>
          </w:rPr>
          <w:t>ГОСТ Р 50943</w:t>
        </w:r>
      </w:hyperlink>
      <w:r>
        <w:t xml:space="preserve">) должны оборудоваться зеркалом заднего вида. Установленные на снегоболотоходах зеркала должны соответствовать требованиям пункта 5.4.2 </w:t>
      </w:r>
      <w:hyperlink r:id="rId34" w:history="1">
        <w:r>
          <w:rPr>
            <w:color w:val="0000FF"/>
          </w:rPr>
          <w:t>ГОСТ Р 50943</w:t>
        </w:r>
      </w:hyperlink>
      <w:r>
        <w:t>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51. Наличие трещин на ветровых стеклах в зоне очистки стеклоочистителем половины стекла, расположенной со стороны водителя,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52. Замки дверей кабины, механизмы регулировки и фиксирующие устройства сидений водителя, устройство обогрева и обдува ветрового стекла, предусмотренные конструкцией,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53. Запоры бортов грузовой платформы прицепов и полуприцепов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54. Аварийные выходы и устройства приведения их в действие, приборы внутреннего освещения кабины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55. Предусмотренные конструкцией самоходных машин звуковые сигналы должны быть исправны.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Звуковой сигнал при приведении в действие органа его управления должен издавать непрерывный и монотонный звук.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Уровень звука сигнала должен быть в пределах 90 - 112 дБА при заглушенном двигателе.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56. На прицепах и полуприцепах должны устанавливаться задние защитные устройства, предусмотренные конструкцией.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57. Тракторные прицепы и полуприцепы должны оборудоваться работоспособными предохранительными приспособлениями (цепями, тросами).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58. Прицепы (за исключением одноосных и роспусков) должны оборудоваться устройством, поддерживающим сцепную петлю дышла в положении, облегчающем сцепку и расцепку с тяговой машиной.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59. Деформация сцепной петли или дышла прицепа, нарушающая их положение </w:t>
      </w:r>
      <w:r>
        <w:lastRenderedPageBreak/>
        <w:t>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60. Машины должны оснащаться ремнями безопасности, предусмотренными конструкцией. Ремни безопасности не должны иметь следующие дефекты: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а) надрыв на лямке, видимый невооруженным глазом;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б) замок не фиксирует "язык" лямки или не выбрасывает его после нажатия на кнопку замыкающего устройства;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в) лямка не вытягивается или не втягивается во втягивающее устройство (катушку);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г) при резком вытягивании лямки ремня не обеспечивается прекращение (блокирование) ее вытягивания из втягивающего устройства (катушки).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61. Тракторы, самоходные дорожно-строительные, самоходные сельскохозяйственные машины, прицепы и полуприцепы должны укомплектовываться не менее чем 2 противооткатными упорами.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62. Самоходные машины должны оснащаться не менее чем одним порошковым или хладоновым огнетушителем емкостью не менее 2 л.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Огнетушитель должен быть опломбирован, и на нем должен быть указан срок окончания использования, который на момент проверки не должен быть завершен.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63. Аккумуляторные батареи, сиденья, а также огнетушители и медицинская аптечка на тракторах, самоходных дорожно-строительных машинах, оборудованных приспособлениями для их крепления, должны надежно закрепляться в местах, предусмотренных конструкцией.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64. Колесные тракторы и машины должны оборудоваться надколесными крыльями. Ширина этих устройств должна быть не менее ширины применяемых шин.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65. Отсутствие предусмотренных конструкцией машин грязезащитных фартуков и брызговиков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66. Фиксаторы транспортного положения опор полуприцепов, предназначенные для предотвращения их самопроизвольного опускания при движении,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67. Подтекание масел и рабочих жидкостей из двигателя, коробки передач, бортовых редукторов, мостов, сцепления, аккумуляторной батареи, систем охлаждения и кондиционирования воздуха и дополнительно устанавливаемых гидравлических устройств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68. Предусмотренное конструкцией самоходной машины устройство, исключающее возможность запуска двигателя при включенной передаче, должно быть работоспособно.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69. Повышенное перемещение в подвижных сопряжениях машин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70. Движущие (вращающиеся) части машин (карданные, цепные, ременные, зубчатые передачи и т.п.) должны быть огорожены защитными кожухами.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71. Ослабление крепления кабины, двигателя, компрессора, пускового двигателя, облицовки, рабочих органов, других элементов конструкции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72. Рычаги управления рабочими органами машин и орудия в заданных положениях должны обеспечиваться надежной фиксацией.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lastRenderedPageBreak/>
        <w:t>73. Установка дополнительных предметов или нанесение покрытий, ограничивающих обзор с места водителя, ухудшающих прозрачность стекол, влекущих опасность травмирования,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На верхнюю часть ветрового стекла машины могут прикрепляться прозрачные цветные пленки. Разрешается применять тонированные стекла (кроме зеркальных), светопропускание которых соответствует требованиям </w:t>
      </w:r>
      <w:hyperlink r:id="rId35" w:history="1">
        <w:r>
          <w:rPr>
            <w:color w:val="0000FF"/>
          </w:rPr>
          <w:t>ГОСТ 5727</w:t>
        </w:r>
      </w:hyperlink>
      <w:r>
        <w:t>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74. Замена аккумуляторных батарей, применяемых для запуска двигателя машины, а также аккумуляторных батарей машин с электроприводом батареи, напряжение, масса или размеры которых отличаются от предусмотренных изготовителем,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75. Предусмотренные конструкцией устройства, предотвращающие самопроизвольный запуск рабочих органов машин,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76. Предохранительные муфты привода рабочих органов машин должны быть исправны и отрегулированы.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77. Предусмотренные конструкцией устройства для экстренного отключения рабочих органов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78. Предусмотренные конструкцией устройства для снятия статического электрического заряда должны быть работоспособны.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79. Дисбаланс вращающихся частей машин, превышающий установленные изготовителем значения, не допускается.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80. Самоходные машины должны оборудоваться знаком аварийной остановки.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81. На машинах сзади должен устанавливаться государственный регистрационный знак.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на плоской вертикальной поверхности, при этом должно исключаться загораживание государственного регистрационного знака элементами конструкции, а государственный регистрационный знак не должен закрывать внешние световые и светосигнальные приборы и выступать за боковой габарит.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по оси симметрии машины или слева от нее по направлению движения машины.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82. На колесных тракторах класса 1,4 и выше, работающих с прицепами, должен устанавливаться знак "Автопоезд".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>83. На самоходных машинах, имеющих максимальную конструктивную скорость не более 30 км/ч, должен устанавливаться знак "Тихоходное транспортное средство".</w:t>
      </w: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jc w:val="right"/>
        <w:outlineLvl w:val="0"/>
      </w:pPr>
      <w:r>
        <w:t>Утверждены</w:t>
      </w:r>
    </w:p>
    <w:p w:rsidR="004B32AD" w:rsidRDefault="004B32AD">
      <w:pPr>
        <w:pStyle w:val="ConsPlusNormal"/>
        <w:jc w:val="right"/>
      </w:pPr>
      <w:r>
        <w:t>постановлением Правительства</w:t>
      </w:r>
    </w:p>
    <w:p w:rsidR="004B32AD" w:rsidRDefault="004B32AD">
      <w:pPr>
        <w:pStyle w:val="ConsPlusNormal"/>
        <w:jc w:val="right"/>
      </w:pPr>
      <w:r>
        <w:t>Российской Федерации</w:t>
      </w:r>
    </w:p>
    <w:p w:rsidR="004B32AD" w:rsidRDefault="004B32AD">
      <w:pPr>
        <w:pStyle w:val="ConsPlusNormal"/>
        <w:jc w:val="right"/>
      </w:pPr>
      <w:r>
        <w:t>от 13 ноября 2013 г. N 1013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Title"/>
        <w:jc w:val="center"/>
      </w:pPr>
      <w:bookmarkStart w:id="7" w:name="P251"/>
      <w:bookmarkEnd w:id="7"/>
      <w:r>
        <w:t>ИЗМЕНЕНИЯ,</w:t>
      </w:r>
    </w:p>
    <w:p w:rsidR="004B32AD" w:rsidRDefault="004B32A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B32AD" w:rsidRDefault="004B32AD">
      <w:pPr>
        <w:pStyle w:val="ConsPlusNormal"/>
        <w:jc w:val="center"/>
      </w:pPr>
    </w:p>
    <w:p w:rsidR="004B32AD" w:rsidRDefault="004B32AD">
      <w:pPr>
        <w:pStyle w:val="ConsPlusNormal"/>
        <w:ind w:firstLine="540"/>
        <w:jc w:val="both"/>
      </w:pPr>
      <w:r>
        <w:t xml:space="preserve">1. </w:t>
      </w:r>
      <w:hyperlink r:id="rId36" w:history="1">
        <w:r>
          <w:rPr>
            <w:color w:val="0000FF"/>
          </w:rPr>
          <w:t>Пункт 2</w:t>
        </w:r>
      </w:hyperlink>
      <w:r>
        <w:t xml:space="preserve"> Правил проведения технического осмотра транспортных средств, утвержденных постановлением Правительства Российской Федерации от 5 декабря 2011 г. N 1008 "О проведении технического осмотра транспортных средств" (Собрание законодательства Российской Федерации, 2011, N 50, ст. 7397; 2013, N 16, ст. 1975), дополнить словами ", если иное не установлено актами Правительства Российской Федерации".</w:t>
      </w:r>
    </w:p>
    <w:p w:rsidR="004B32AD" w:rsidRDefault="004B32AD">
      <w:pPr>
        <w:pStyle w:val="ConsPlusNormal"/>
        <w:spacing w:before="220"/>
        <w:ind w:firstLine="540"/>
        <w:jc w:val="both"/>
      </w:pPr>
      <w:r>
        <w:t xml:space="preserve">2. </w:t>
      </w:r>
      <w:hyperlink r:id="rId37" w:history="1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оперативно-разыскную деятельность" (Собрание законодательства Российской Федерации, 2013, N 16, ст. 1975) исключить.</w:t>
      </w: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ind w:firstLine="540"/>
        <w:jc w:val="both"/>
      </w:pPr>
    </w:p>
    <w:p w:rsidR="004B32AD" w:rsidRDefault="004B3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2F8B" w:rsidRDefault="004A2F8B">
      <w:bookmarkStart w:id="8" w:name="_GoBack"/>
      <w:bookmarkEnd w:id="8"/>
    </w:p>
    <w:sectPr w:rsidR="004A2F8B" w:rsidSect="004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D"/>
    <w:rsid w:val="004A2F8B"/>
    <w:rsid w:val="004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40E4A-048C-43E1-ABF0-DBD9D4A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3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3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27AAD6D4065275001FECC040F59A87F420F4A07401133E34F34B68A4DDE0898A66372F5BCFEC3041E747FDE5ABD7AD4EC0E5E4A86F5A3XDP0I" TargetMode="External"/><Relationship Id="rId13" Type="http://schemas.openxmlformats.org/officeDocument/2006/relationships/hyperlink" Target="consultantplus://offline/ref=6F427AAD6D4065275001FECC040F59A87C410F4B06431133E34F34B68A4DDE0898A66372F5BCFEC9051E747FDE5ABD7AD4EC0E5E4A86F5A3XDP0I" TargetMode="External"/><Relationship Id="rId18" Type="http://schemas.openxmlformats.org/officeDocument/2006/relationships/hyperlink" Target="consultantplus://offline/ref=6F427AAD6D4065275001FDD91D0F59A87F450B4F0D4D4C39EB1638B48D42811F9FEF6F73F5BDF6C80F41716ACF02B07DCDF30E415684F4XAPBI" TargetMode="External"/><Relationship Id="rId26" Type="http://schemas.openxmlformats.org/officeDocument/2006/relationships/hyperlink" Target="consultantplus://offline/ref=6F427AAD6D4065275001FDD91D0F59A87F450B4F0D4D4C39EB1638B48D42811F9FEF6F73F5BDF6C50F41716ACF02B07DCDF30E415684F4XAPBI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427AAD6D4065275001FDD91D0F59A87D480A4A04104631B21A3AB3821D9618D6E36E73F4BFF8CB5044647B970FB764D2F3115D5485XFPCI" TargetMode="External"/><Relationship Id="rId34" Type="http://schemas.openxmlformats.org/officeDocument/2006/relationships/hyperlink" Target="consultantplus://offline/ref=6F427AAD6D4065275001FDD91D0F59A87C430B4204104631B21A3AB3821D84188EEF6E74EBBDFFDE061521X2P7I" TargetMode="External"/><Relationship Id="rId7" Type="http://schemas.openxmlformats.org/officeDocument/2006/relationships/hyperlink" Target="consultantplus://offline/ref=6F427AAD6D4065275001FECC040F59A87C47044A0C4D4C39EB1638B48D42810D9FB76373F2A2FFC11A17202FX9P3I" TargetMode="External"/><Relationship Id="rId12" Type="http://schemas.openxmlformats.org/officeDocument/2006/relationships/hyperlink" Target="consultantplus://offline/ref=6F427AAD6D4065275001FECC040F59A87C410F4B06431133E34F34B68A4DDE0898A66372F5BCFEC6001E747FDE5ABD7AD4EC0E5E4A86F5A3XDP0I" TargetMode="External"/><Relationship Id="rId17" Type="http://schemas.openxmlformats.org/officeDocument/2006/relationships/hyperlink" Target="consultantplus://offline/ref=6F427AAD6D4065275001FDD91D0F59A87D40084904104631B21A3AB3821D9618D6E36E73F5BBF7CB5044647B970FB764D2F3115D5485XFPCI" TargetMode="External"/><Relationship Id="rId25" Type="http://schemas.openxmlformats.org/officeDocument/2006/relationships/hyperlink" Target="consultantplus://offline/ref=6F427AAD6D4065275001FDD91D0F59A87F450B4F0D4D4C39EB1638B48D42811F9FEF6F73F5BDF9C80F41716ACF02B07DCDF30E415684F4XAPBI" TargetMode="External"/><Relationship Id="rId33" Type="http://schemas.openxmlformats.org/officeDocument/2006/relationships/hyperlink" Target="consultantplus://offline/ref=6F427AAD6D4065275001FDD91D0F59A87C430B4204104631B21A3AB3821D84188EEF6E74EBBDFFDE061521X2P7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427AAD6D4065275001FDD91D0F59A87D40084904104631B21A3AB3821D9618D6E36E73F5BBFECB5044647B970FB764D2F3115D5485XFPCI" TargetMode="External"/><Relationship Id="rId20" Type="http://schemas.openxmlformats.org/officeDocument/2006/relationships/hyperlink" Target="consultantplus://offline/ref=6F427AAD6D4065275001FDD91D0F59A87D480A4A04104631B21A3AB3821D9618D6E36E73F5BFFFCB5044647B970FB764D2F3115D5485XFPCI" TargetMode="External"/><Relationship Id="rId29" Type="http://schemas.openxmlformats.org/officeDocument/2006/relationships/hyperlink" Target="consultantplus://offline/ref=6F427AAD6D4065275001E1D9010F59A87F4309480B4D4C39EB1638B48D42811F9FEF6F73F5BDFCC10F41716ACF02B07DCDF30E415684F4XAP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27AAD6D4065275001FECC040F59A87C490D4A0F431133E34F34B68A4DDE0898A66372F5BCFEC10C1E747FDE5ABD7AD4EC0E5E4A86F5A3XDP0I" TargetMode="External"/><Relationship Id="rId11" Type="http://schemas.openxmlformats.org/officeDocument/2006/relationships/hyperlink" Target="consultantplus://offline/ref=6F427AAD6D4065275001FECC040F59A87C410F4B06431133E34F34B68A4DDE0898A66372F5BCFEC1001E747FDE5ABD7AD4EC0E5E4A86F5A3XDP0I" TargetMode="External"/><Relationship Id="rId24" Type="http://schemas.openxmlformats.org/officeDocument/2006/relationships/hyperlink" Target="consultantplus://offline/ref=6F427AAD6D4065275001E1D9010F59A87B45044E04104631B21A3AB3821D84188EEF6E74EBBDFFDE061521X2P7I" TargetMode="External"/><Relationship Id="rId32" Type="http://schemas.openxmlformats.org/officeDocument/2006/relationships/hyperlink" Target="consultantplus://offline/ref=6F427AAD6D4065275001FDD91D0F59A87F450B4F0D4D4C39EB1638B48D42811F9FEF6F73F5BEFEC20F41716ACF02B07DCDF30E415684F4XAPBI" TargetMode="External"/><Relationship Id="rId37" Type="http://schemas.openxmlformats.org/officeDocument/2006/relationships/hyperlink" Target="consultantplus://offline/ref=6F427AAD6D4065275001FECC040F59A87F44094807421133E34F34B68A4DDE0898A66372F5BCFEC1041E747FDE5ABD7AD4EC0E5E4A86F5A3XDP0I" TargetMode="External"/><Relationship Id="rId5" Type="http://schemas.openxmlformats.org/officeDocument/2006/relationships/hyperlink" Target="consultantplus://offline/ref=6F427AAD6D4065275001FECC040F59A87C490A4F0B431133E34F34B68A4DDE0898A66372F5BCFEC3041E747FDE5ABD7AD4EC0E5E4A86F5A3XDP0I" TargetMode="External"/><Relationship Id="rId15" Type="http://schemas.openxmlformats.org/officeDocument/2006/relationships/hyperlink" Target="consultantplus://offline/ref=6F427AAD6D4065275001FDD91D0F59A879490E4904104631B21A3AB3821D9618D6E36E73F4B5FECB5044647B970FB764D2F3115D5485XFPCI" TargetMode="External"/><Relationship Id="rId23" Type="http://schemas.openxmlformats.org/officeDocument/2006/relationships/hyperlink" Target="consultantplus://offline/ref=6F427AAD6D4065275001FDD91D0F59A87C480D4904104631B21A3AB3821D9618D6E36E73F6B8FDCB5044647B970FB764D2F3115D5485XFPCI" TargetMode="External"/><Relationship Id="rId28" Type="http://schemas.openxmlformats.org/officeDocument/2006/relationships/hyperlink" Target="consultantplus://offline/ref=6F427AAD6D4065275001E1D9010F59A87F4309480B4D4C39EB1638B48D42811F9FEF6F73F5BDFFC70F41716ACF02B07DCDF30E415684F4XAPBI" TargetMode="External"/><Relationship Id="rId36" Type="http://schemas.openxmlformats.org/officeDocument/2006/relationships/hyperlink" Target="consultantplus://offline/ref=6F427AAD6D4065275001FECC040F59A87F43044F0E431133E34F34B68A4DDE0898A66372F5BCFEC2051E747FDE5ABD7AD4EC0E5E4A86F5A3XDP0I" TargetMode="External"/><Relationship Id="rId10" Type="http://schemas.openxmlformats.org/officeDocument/2006/relationships/hyperlink" Target="consultantplus://offline/ref=6F427AAD6D4065275001FECC040F59A87D420D48064F1133E34F34B68A4DDE088AA63B7EF5BBE0C1050B222E9BX0P6I" TargetMode="External"/><Relationship Id="rId19" Type="http://schemas.openxmlformats.org/officeDocument/2006/relationships/hyperlink" Target="consultantplus://offline/ref=6F427AAD6D4065275001FDD91D0F59A87C430B4204104631B21A3AB3821D9618D6E36E73F6BAF9CB5044647B970FB764D2F3115D5485XFPCI" TargetMode="External"/><Relationship Id="rId31" Type="http://schemas.openxmlformats.org/officeDocument/2006/relationships/hyperlink" Target="consultantplus://offline/ref=6F427AAD6D4065275001FDD91D0F59A87F450B4F0D4D4C39EB1638B48D42810D9FB76373F2A2FFC11A17202FX9P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427AAD6D4065275001FECC040F59A87D4205490A441133E34F34B68A4DDE0898A66372F5BCFDC6021E747FDE5ABD7AD4EC0E5E4A86F5A3XDP0I" TargetMode="External"/><Relationship Id="rId14" Type="http://schemas.openxmlformats.org/officeDocument/2006/relationships/hyperlink" Target="consultantplus://offline/ref=6F427AAD6D4065275001FDD91D0F59A87C480D4904104631B21A3AB3821D9618D6E36E73F4BEF6CB5044647B970FB764D2F3115D5485XFPCI" TargetMode="External"/><Relationship Id="rId22" Type="http://schemas.openxmlformats.org/officeDocument/2006/relationships/hyperlink" Target="consultantplus://offline/ref=6F427AAD6D4065275001FDD91D0F59A87D42054F04104631B21A3AB3821D84188EEF6E74EBBDFFDE061521X2P7I" TargetMode="External"/><Relationship Id="rId27" Type="http://schemas.openxmlformats.org/officeDocument/2006/relationships/hyperlink" Target="consultantplus://offline/ref=6F427AAD6D4065275001FDD91D0F59A87C430B4204104631B21A3AB3821D84188EEF6E74EBBDFFDE061521X2P7I" TargetMode="External"/><Relationship Id="rId30" Type="http://schemas.openxmlformats.org/officeDocument/2006/relationships/hyperlink" Target="consultantplus://offline/ref=6F427AAD6D4065275001FDD91D0F59A87F480C4804104631B21A3AB3821D84188EEF6E74EBBDFFDE061521X2P7I" TargetMode="External"/><Relationship Id="rId35" Type="http://schemas.openxmlformats.org/officeDocument/2006/relationships/hyperlink" Target="consultantplus://offline/ref=6F427AAD6D4065275001FECC040F59A87F430A420F4E1133E34F34B68A4DDE088AA63B7EF5BBE0C1050B222E9BX0P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4981</Words>
  <Characters>28396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Гостехнадзор</cp:lastModifiedBy>
  <cp:revision>1</cp:revision>
  <dcterms:created xsi:type="dcterms:W3CDTF">2019-11-07T08:15:00Z</dcterms:created>
  <dcterms:modified xsi:type="dcterms:W3CDTF">2019-11-07T08:15:00Z</dcterms:modified>
</cp:coreProperties>
</file>