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680"/>
        <w:gridCol w:w="2554"/>
        <w:gridCol w:w="828"/>
        <w:gridCol w:w="415"/>
        <w:gridCol w:w="1270"/>
        <w:gridCol w:w="672"/>
        <w:gridCol w:w="263"/>
        <w:gridCol w:w="2268"/>
      </w:tblGrid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Ходатайство об изъятии земельных участков для муниципальных нужд 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 органа, принимающего решение об изъятии земельного участка для муниципальных нужд)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Дата внесения записи в ЕГРЮЛ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3.5.2. Номер основного  документа, удостоверяющего 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Содержание ходатайства об изъятии земельного участка для муниципальных нужд 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Прошу изъять для муниципальных нужд</w:t>
            </w: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Известные заявителю кадастровы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номер(а) земельного(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), предполагаемого(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Известные заявителю кадастровы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номер(а) расположенного(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на земельном(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участке(ах) объекта(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недвижимого имущества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нужное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</w:t>
            </w:r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снос или реконструкция многоквартирного дома, признанного аварийным</w:t>
            </w:r>
          </w:p>
        </w:tc>
      </w:tr>
      <w:tr w:rsidR="009853F7" w:rsidRPr="00E644FF" w:rsidTr="006B1634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иные цели, предусмотренные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федеральными законами (указать в случае выбора)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В случае строительства, реконструкции объектов государственного или местного </w:t>
            </w: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 xml:space="preserve">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</w:t>
            </w:r>
            <w:hyperlink r:id="rId5" w:history="1">
              <w:r w:rsidRPr="00E644FF">
                <w:rPr>
                  <w:rFonts w:ascii="Times New Roman" w:hAnsi="Times New Roman"/>
                  <w:position w:val="-2"/>
                  <w:sz w:val="24"/>
                  <w:szCs w:val="24"/>
                  <w:lang w:eastAsia="ru-RU"/>
                </w:rPr>
                <w:t>пунктом 2 статьи 56.3</w:t>
              </w:r>
            </w:hyperlink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Земельного кодекса Российской Федерации, а также в случаях, предусмотренных </w:t>
            </w:r>
            <w:hyperlink r:id="rId6" w:history="1">
              <w:r w:rsidRPr="00E644FF">
                <w:rPr>
                  <w:rFonts w:ascii="Times New Roman" w:hAnsi="Times New Roman"/>
                  <w:position w:val="-2"/>
                  <w:sz w:val="24"/>
                  <w:szCs w:val="24"/>
                  <w:lang w:eastAsia="ru-RU"/>
                </w:rPr>
                <w:t>пунктом 4 статьи 26</w:t>
              </w:r>
            </w:hyperlink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Федерации»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н(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ы) предполагаемый(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)) 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н(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ы) предполагаемый(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и номер документа об утверждении проекта планировки территории)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выдачи и номер лицензии на пользование недрами)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(стороны по договору о развитии застроенной территории)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(дата заключения и номер договора о развитии застроенной территории)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Срок действия согласия субъекта персональных данных - 6 месяцев.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Способ отзыва согласия на обработку персональных данных – путем направления отзыва в письменном виде в орган, указанный в пункте 1 настоящего ходатайства.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Дата: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 ___________________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________________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(Печать заявителя)</w:t>
            </w:r>
          </w:p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г</w:t>
            </w:r>
            <w:proofErr w:type="gramEnd"/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.</w:t>
            </w:r>
          </w:p>
        </w:tc>
      </w:tr>
      <w:tr w:rsidR="009853F7" w:rsidRPr="00E644FF" w:rsidTr="006B163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-2"/>
                <w:sz w:val="18"/>
                <w:szCs w:val="18"/>
                <w:lang w:eastAsia="ru-RU"/>
              </w:rPr>
            </w:pPr>
            <w:r w:rsidRPr="00E644FF">
              <w:rPr>
                <w:rFonts w:ascii="Times New Roman" w:hAnsi="Times New Roman"/>
                <w:position w:val="-2"/>
                <w:sz w:val="18"/>
                <w:szCs w:val="18"/>
                <w:lang w:eastAsia="ru-RU"/>
              </w:rPr>
              <w:t>наименование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7" w:rsidRPr="00E644FF" w:rsidRDefault="009853F7" w:rsidP="006B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</w:tbl>
    <w:p w:rsidR="00687833" w:rsidRDefault="00687833">
      <w:bookmarkStart w:id="0" w:name="_GoBack"/>
      <w:bookmarkEnd w:id="0"/>
    </w:p>
    <w:sectPr w:rsidR="0068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F7"/>
    <w:rsid w:val="00687833"/>
    <w:rsid w:val="009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F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F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30E4469819EC8C6ED2D3BB42F86CB88F76304D8CB1EC25286FF083089FB80045D74AD0E1CB143zDN3H" TargetMode="External"/><Relationship Id="rId5" Type="http://schemas.openxmlformats.org/officeDocument/2006/relationships/hyperlink" Target="consultantplus://offline/ref=A9430E4469819EC8C6ED2D3BB42F86CB8BF06104D2C61EC25286FF083089FB80045D74AD0C14zBN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5812</Characters>
  <Application>Microsoft Office Word</Application>
  <DocSecurity>0</DocSecurity>
  <Lines>48</Lines>
  <Paragraphs>13</Paragraphs>
  <ScaleCrop>false</ScaleCrop>
  <Company>Work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2025-10-14T07:22:00Z</dcterms:created>
  <dcterms:modified xsi:type="dcterms:W3CDTF">2025-10-14T07:23:00Z</dcterms:modified>
</cp:coreProperties>
</file>