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C5" w:rsidRDefault="009731C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31C5" w:rsidRDefault="009731C5">
      <w:pPr>
        <w:pStyle w:val="ConsPlusNormal"/>
        <w:jc w:val="both"/>
        <w:outlineLvl w:val="0"/>
      </w:pPr>
    </w:p>
    <w:p w:rsidR="009731C5" w:rsidRDefault="009731C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731C5" w:rsidRDefault="009731C5">
      <w:pPr>
        <w:pStyle w:val="ConsPlusTitle"/>
        <w:jc w:val="center"/>
      </w:pPr>
    </w:p>
    <w:p w:rsidR="009731C5" w:rsidRDefault="009731C5">
      <w:pPr>
        <w:pStyle w:val="ConsPlusTitle"/>
        <w:jc w:val="center"/>
      </w:pPr>
      <w:r>
        <w:t>ПОСТАНОВЛЕНИЕ</w:t>
      </w:r>
    </w:p>
    <w:p w:rsidR="009731C5" w:rsidRDefault="009731C5">
      <w:pPr>
        <w:pStyle w:val="ConsPlusTitle"/>
        <w:jc w:val="center"/>
      </w:pPr>
      <w:r>
        <w:t>от 26 марта 2016 г. N 236</w:t>
      </w:r>
    </w:p>
    <w:p w:rsidR="009731C5" w:rsidRDefault="009731C5">
      <w:pPr>
        <w:pStyle w:val="ConsPlusTitle"/>
        <w:jc w:val="center"/>
      </w:pPr>
    </w:p>
    <w:p w:rsidR="009731C5" w:rsidRDefault="009731C5">
      <w:pPr>
        <w:pStyle w:val="ConsPlusTitle"/>
        <w:jc w:val="center"/>
      </w:pPr>
      <w:r>
        <w:t>О ТРЕБОВАНИЯХ</w:t>
      </w:r>
    </w:p>
    <w:p w:rsidR="009731C5" w:rsidRDefault="009731C5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9731C5" w:rsidRDefault="009731C5">
      <w:pPr>
        <w:pStyle w:val="ConsPlusTitle"/>
        <w:jc w:val="center"/>
      </w:pPr>
      <w:r>
        <w:t>И МУНИЦИПАЛЬНЫХ УСЛУГ</w:t>
      </w:r>
    </w:p>
    <w:p w:rsidR="009731C5" w:rsidRDefault="009731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731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5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7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Государственной корпорации по космической деятельности "Роскосмос":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>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right"/>
      </w:pPr>
      <w:r>
        <w:t>Председатель Правительства</w:t>
      </w:r>
    </w:p>
    <w:p w:rsidR="009731C5" w:rsidRDefault="009731C5">
      <w:pPr>
        <w:pStyle w:val="ConsPlusNormal"/>
        <w:jc w:val="right"/>
      </w:pPr>
      <w:r>
        <w:lastRenderedPageBreak/>
        <w:t>Российской Федерации</w:t>
      </w:r>
    </w:p>
    <w:p w:rsidR="009731C5" w:rsidRDefault="009731C5">
      <w:pPr>
        <w:pStyle w:val="ConsPlusNormal"/>
        <w:jc w:val="right"/>
      </w:pPr>
      <w:r>
        <w:t>Д.МЕДВЕДЕВ</w:t>
      </w: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right"/>
        <w:outlineLvl w:val="0"/>
      </w:pPr>
      <w:r>
        <w:t>Утверждены</w:t>
      </w:r>
    </w:p>
    <w:p w:rsidR="009731C5" w:rsidRDefault="009731C5">
      <w:pPr>
        <w:pStyle w:val="ConsPlusNormal"/>
        <w:jc w:val="right"/>
      </w:pPr>
      <w:r>
        <w:t>постановлением Правительства</w:t>
      </w:r>
    </w:p>
    <w:p w:rsidR="009731C5" w:rsidRDefault="009731C5">
      <w:pPr>
        <w:pStyle w:val="ConsPlusNormal"/>
        <w:jc w:val="right"/>
      </w:pPr>
      <w:r>
        <w:t>Российской Федерации</w:t>
      </w:r>
    </w:p>
    <w:p w:rsidR="009731C5" w:rsidRDefault="009731C5">
      <w:pPr>
        <w:pStyle w:val="ConsPlusNormal"/>
        <w:jc w:val="right"/>
      </w:pPr>
      <w:r>
        <w:t>от 26 марта 2016 г. N 236</w:t>
      </w: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9731C5" w:rsidRDefault="009731C5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9731C5" w:rsidRDefault="009731C5">
      <w:pPr>
        <w:pStyle w:val="ConsPlusTitle"/>
        <w:jc w:val="center"/>
      </w:pPr>
      <w:r>
        <w:t>И МУНИЦИПАЛЬНЫХ УСЛУГ</w:t>
      </w:r>
    </w:p>
    <w:p w:rsidR="009731C5" w:rsidRDefault="009731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731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9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9731C5" w:rsidRDefault="009731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0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1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ind w:firstLine="540"/>
        <w:jc w:val="both"/>
      </w:pPr>
      <w: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е) получение результата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з) осуществление оценки качества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и) досудебное (внесудебное) обжалование решений и действий (бездействия) органа </w:t>
      </w:r>
      <w:r>
        <w:lastRenderedPageBreak/>
        <w:t>(организации), должностного лица органа (организации) либо государственного или муниципального служащего.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5. Состав действий, которые включаются в административный регламент предоставления услуги, одобряется: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а) решением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государственное или муниципальное задание (заказ), в соответствии с </w:t>
      </w:r>
      <w:hyperlink r:id="rId12" w:history="1">
        <w:r>
          <w:rPr>
            <w:color w:val="0000FF"/>
          </w:rPr>
          <w:t>приложением N 1</w:t>
        </w:r>
      </w:hyperlink>
      <w: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9731C5" w:rsidRDefault="009731C5">
      <w:pPr>
        <w:pStyle w:val="ConsPlusNormal"/>
        <w:jc w:val="both"/>
      </w:pPr>
      <w:r>
        <w:t xml:space="preserve">(в ред. Постановлений Правительства РФ от 02.02.2019 </w:t>
      </w:r>
      <w:hyperlink r:id="rId13" w:history="1">
        <w:r>
          <w:rPr>
            <w:color w:val="0000FF"/>
          </w:rPr>
          <w:t>N 77</w:t>
        </w:r>
      </w:hyperlink>
      <w:r>
        <w:t xml:space="preserve">, от 21.08.2020 </w:t>
      </w:r>
      <w:hyperlink r:id="rId14" w:history="1">
        <w:r>
          <w:rPr>
            <w:color w:val="0000FF"/>
          </w:rPr>
          <w:t>N 1266</w:t>
        </w:r>
      </w:hyperlink>
      <w:r>
        <w:t>)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решением Министерства экономического развития Российской Федерации и Министерства цифрового развития, связи и массовых коммуникаций Российской Федерации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не включенных в примерные перечни;</w:t>
      </w:r>
    </w:p>
    <w:p w:rsidR="009731C5" w:rsidRDefault="009731C5">
      <w:pPr>
        <w:pStyle w:val="ConsPlusNormal"/>
        <w:jc w:val="both"/>
      </w:pPr>
      <w:r>
        <w:t xml:space="preserve">(в ред. Постановлений Правительства РФ от 02.02.2019 </w:t>
      </w:r>
      <w:hyperlink r:id="rId15" w:history="1">
        <w:r>
          <w:rPr>
            <w:color w:val="0000FF"/>
          </w:rPr>
          <w:t>N 77</w:t>
        </w:r>
      </w:hyperlink>
      <w:r>
        <w:t xml:space="preserve">, от 21.08.2020 </w:t>
      </w:r>
      <w:hyperlink r:id="rId16" w:history="1">
        <w:r>
          <w:rPr>
            <w:color w:val="0000FF"/>
          </w:rPr>
          <w:t>N 1266</w:t>
        </w:r>
      </w:hyperlink>
      <w:r>
        <w:t>)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При несогласии органа (организации) с решением Министерства экономического развития Российской Федерации и (или) решением Министерства цифрового развития, связи и массовых коммуникаций Российской Федерации орган (организация) обеспечивает проведение согласительного мероприятия соответственно с Министерством экономического развития Российской Федерации и (или) Министерством цифрового развития, связи и массовых коммуникаций Российской Федерации. В случае недостижения согласия этот вопрос выносится органом (организацией) для рассмотрения на заседание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9731C5" w:rsidRDefault="009731C5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21.08.2020 N 1266)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</w:t>
      </w:r>
      <w:r>
        <w:lastRenderedPageBreak/>
        <w:t>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9731C5" w:rsidRDefault="009731C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lastRenderedPageBreak/>
        <w:t>14. При формировании запроса обеспечивается: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указания </w:t>
      </w:r>
      <w:r>
        <w:lastRenderedPageBreak/>
        <w:t>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 получения: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lastRenderedPageBreak/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24. Оценка качества предоставления услуги осуществляется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9731C5" w:rsidRDefault="009731C5">
      <w:pPr>
        <w:pStyle w:val="ConsPlusNormal"/>
        <w:spacing w:before="220"/>
        <w:ind w:firstLine="540"/>
        <w:jc w:val="both"/>
      </w:pPr>
      <w: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1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jc w:val="both"/>
      </w:pPr>
    </w:p>
    <w:p w:rsidR="009731C5" w:rsidRDefault="009731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246D" w:rsidRDefault="0018246D"/>
    <w:sectPr w:rsidR="0018246D" w:rsidSect="004B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31C5"/>
    <w:rsid w:val="0018246D"/>
    <w:rsid w:val="0097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1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54FDCB2AFF8C9B4FEAB3E5B0FBEE5E4F64156D9A8787C9991C28F1C027C8FC9705D846E65285833E825DECA2E5E3BCD5060F909x3aFL" TargetMode="External"/><Relationship Id="rId13" Type="http://schemas.openxmlformats.org/officeDocument/2006/relationships/hyperlink" Target="consultantplus://offline/ref=53954FDCB2AFF8C9B4FEAB3E5B0FBEE5E4F54057D7AD787C9991C28F1C027C8FC9705D846A6D230E65A724828C7D4D39CA5062F8153CE809x8a8L" TargetMode="External"/><Relationship Id="rId18" Type="http://schemas.openxmlformats.org/officeDocument/2006/relationships/hyperlink" Target="consultantplus://offline/ref=53954FDCB2AFF8C9B4FEAB3E5B0FBEE5E4F64D5BD0A1787C9991C28F1C027C8FC9705D846A6D220C6AA724828C7D4D39CA5062F8153CE809x8a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954FDCB2AFF8C9B4FEAB3E5B0FBEE5E4F64156D9A8787C9991C28F1C027C8FC9705D846A6A285833E825DECA2E5E3BCD5060F909x3aFL" TargetMode="External"/><Relationship Id="rId7" Type="http://schemas.openxmlformats.org/officeDocument/2006/relationships/hyperlink" Target="consultantplus://offline/ref=53954FDCB2AFF8C9B4FEAB3E5B0FBEE5E4F54057D4AE787C9991C28F1C027C8FC9705D846A6D230863A724828C7D4D39CA5062F8153CE809x8a8L" TargetMode="External"/><Relationship Id="rId12" Type="http://schemas.openxmlformats.org/officeDocument/2006/relationships/hyperlink" Target="consultantplus://offline/ref=53954FDCB2AFF8C9B4FEAB3E5B0FBEE5E5FB4458D4A1787C9991C28F1C027C8FC9705D846A6D200F60A724828C7D4D39CA5062F8153CE809x8a8L" TargetMode="External"/><Relationship Id="rId17" Type="http://schemas.openxmlformats.org/officeDocument/2006/relationships/hyperlink" Target="consultantplus://offline/ref=53954FDCB2AFF8C9B4FEAB3E5B0FBEE5E4F54057D4AE787C9991C28F1C027C8FC9705D846A6D230867A724828C7D4D39CA5062F8153CE809x8a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954FDCB2AFF8C9B4FEAB3E5B0FBEE5E4F54057D4AE787C9991C28F1C027C8FC9705D846A6D230861A724828C7D4D39CA5062F8153CE809x8a8L" TargetMode="External"/><Relationship Id="rId20" Type="http://schemas.openxmlformats.org/officeDocument/2006/relationships/hyperlink" Target="consultantplus://offline/ref=53954FDCB2AFF8C9B4FEAB3E5B0FBEE5E4F5445AD5A9787C9991C28F1C027C8FC9705D846A6D230B6BA724828C7D4D39CA5062F8153CE809x8a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954FDCB2AFF8C9B4FEAB3E5B0FBEE5E4F54057D7AD787C9991C28F1C027C8FC9705D846A6D230E64A724828C7D4D39CA5062F8153CE809x8a8L" TargetMode="External"/><Relationship Id="rId11" Type="http://schemas.openxmlformats.org/officeDocument/2006/relationships/hyperlink" Target="consultantplus://offline/ref=53954FDCB2AFF8C9B4FEAB3E5B0FBEE5E4F54057D4AE787C9991C28F1C027C8FC9705D846A6D230863A724828C7D4D39CA5062F8153CE809x8a8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3954FDCB2AFF8C9B4FEAB3E5B0FBEE5E4F64D5BD0A1787C9991C28F1C027C8FC9705D846A6D220C6AA724828C7D4D39CA5062F8153CE809x8a8L" TargetMode="External"/><Relationship Id="rId15" Type="http://schemas.openxmlformats.org/officeDocument/2006/relationships/hyperlink" Target="consultantplus://offline/ref=53954FDCB2AFF8C9B4FEAB3E5B0FBEE5E4F54057D7AD787C9991C28F1C027C8FC9705D846A6D230E6AA724828C7D4D39CA5062F8153CE809x8a8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3954FDCB2AFF8C9B4FEAB3E5B0FBEE5E4F54057D7AD787C9991C28F1C027C8FC9705D846A6D230E64A724828C7D4D39CA5062F8153CE809x8a8L" TargetMode="External"/><Relationship Id="rId19" Type="http://schemas.openxmlformats.org/officeDocument/2006/relationships/hyperlink" Target="consultantplus://offline/ref=53954FDCB2AFF8C9B4FEAB3E5B0FBEE5E4F5415AD5AD787C9991C28F1C027C8FC9705D846A6D200B63A724828C7D4D39CA5062F8153CE809x8a8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3954FDCB2AFF8C9B4FEAB3E5B0FBEE5E4F64D5BD0A1787C9991C28F1C027C8FC9705D846A6D220C6AA724828C7D4D39CA5062F8153CE809x8a8L" TargetMode="External"/><Relationship Id="rId14" Type="http://schemas.openxmlformats.org/officeDocument/2006/relationships/hyperlink" Target="consultantplus://offline/ref=53954FDCB2AFF8C9B4FEAB3E5B0FBEE5E4F54057D4AE787C9991C28F1C027C8FC9705D846A6D230860A724828C7D4D39CA5062F8153CE809x8a8L" TargetMode="External"/><Relationship Id="rId22" Type="http://schemas.openxmlformats.org/officeDocument/2006/relationships/hyperlink" Target="consultantplus://offline/ref=53954FDCB2AFF8C9B4FEAB3E5B0FBEE5E4F24559D8A9787C9991C28F1C027C8FDB700588686B3D0C63B272D3CAx2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3637</Words>
  <Characters>20734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2021-01-26T11:26:00Z</dcterms:created>
  <dcterms:modified xsi:type="dcterms:W3CDTF">2021-01-26T11:26:00Z</dcterms:modified>
</cp:coreProperties>
</file>