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C81" w:rsidRDefault="00FE3C81" w:rsidP="00FE3C81">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ПОТОДЕЕВСКОГО СЕЛЬСОВЕТА НАРОВЧАТСКОГО РАЙОНА</w:t>
      </w:r>
    </w:p>
    <w:p w:rsidR="00FE3C81" w:rsidRDefault="00FE3C81" w:rsidP="00FE3C81">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FE3C81" w:rsidRDefault="00FE3C81" w:rsidP="00FE3C81">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FE3C81" w:rsidRDefault="00FE3C81" w:rsidP="00FE3C81">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от 04 июня 2019г № 18</w:t>
      </w:r>
    </w:p>
    <w:p w:rsidR="00FE3C81" w:rsidRDefault="00FE3C81" w:rsidP="00FE3C81">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с. Потодеево</w:t>
      </w:r>
    </w:p>
    <w:p w:rsidR="00FE3C81" w:rsidRDefault="00FE3C81" w:rsidP="00FE3C81">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Потодеевского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Потодеевского сельсовета Наровчатского района Пензенской области»</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постановлений администрации Потодеевского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04.02.2020 № 4</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25.01.2021 № 3</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37</w:t>
        </w:r>
      </w:hyperlink>
      <w:r>
        <w:rPr>
          <w:rStyle w:val="2"/>
          <w:rFonts w:ascii="Arial" w:hAnsi="Arial" w:cs="Arial"/>
          <w:b/>
          <w:bCs/>
          <w:color w:val="000000"/>
          <w:sz w:val="28"/>
          <w:szCs w:val="28"/>
        </w:rPr>
        <w:t> </w:t>
      </w:r>
      <w:r>
        <w:rPr>
          <w:rStyle w:val="hyperlink"/>
          <w:rFonts w:ascii="Arial" w:hAnsi="Arial" w:cs="Arial"/>
          <w:b/>
          <w:bCs/>
          <w:color w:val="0000FF"/>
          <w:sz w:val="28"/>
          <w:szCs w:val="28"/>
        </w:rPr>
        <w:t>, </w:t>
      </w:r>
      <w:hyperlink r:id="rId7" w:tgtFrame="_blank" w:history="1">
        <w:r>
          <w:rPr>
            <w:rStyle w:val="hyperlink"/>
            <w:rFonts w:ascii="Arial" w:hAnsi="Arial" w:cs="Arial"/>
            <w:color w:val="0000FF"/>
            <w:sz w:val="28"/>
            <w:szCs w:val="28"/>
          </w:rPr>
          <w:t>от 11.08.2022 № 38</w:t>
        </w:r>
      </w:hyperlink>
      <w:r>
        <w:rPr>
          <w:rFonts w:ascii="Arial" w:hAnsi="Arial" w:cs="Arial"/>
          <w:color w:val="000000"/>
          <w:sz w:val="28"/>
          <w:szCs w:val="28"/>
        </w:rPr>
        <w:t>)</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8" w:tgtFrame="_blank" w:history="1">
        <w:r>
          <w:rPr>
            <w:rStyle w:val="hyperlink"/>
            <w:rFonts w:ascii="Arial" w:hAnsi="Arial" w:cs="Arial"/>
            <w:color w:val="0000FF"/>
          </w:rPr>
          <w:t>Уставом Потодеевского сельсовета Наровчатского района Пензенской области</w:t>
        </w:r>
      </w:hyperlink>
      <w:r>
        <w:rPr>
          <w:rFonts w:ascii="Arial" w:hAnsi="Arial" w:cs="Arial"/>
          <w:color w:val="000000"/>
        </w:rPr>
        <w:t>, в целях упорядочения размещения нестационарных объектов торговли на территории Потодеевского сельсовета Наровчатского района Пензенской области и повышения качества обслуживания,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Потодеевского сельсовета Наровчатского района Пензенской области постановляет:</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администрации Потодеевского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Потодеевского сельсовета Наровчатского района Пензенской области».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Потодеевского сельсовета Наровчатского района Пензенской области </w:t>
      </w:r>
      <w:hyperlink r:id="rId9" w:tgtFrame="_blank" w:history="1">
        <w:r>
          <w:rPr>
            <w:rStyle w:val="hyperlink"/>
            <w:rFonts w:ascii="Arial" w:hAnsi="Arial" w:cs="Arial"/>
            <w:color w:val="0000FF"/>
          </w:rPr>
          <w:t>от 25.01.2021 № 3</w:t>
        </w:r>
      </w:hyperlink>
      <w:r>
        <w:rPr>
          <w:rFonts w:ascii="Arial" w:hAnsi="Arial" w:cs="Arial"/>
          <w:color w:val="000000"/>
        </w:rPr>
        <w:t>)</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Настоящее постановление опубликовать в информационном бюллетене «Вестник» Потодеевского сельсовета Наровчатского района Пензенской области и разместить на официальном сайте </w:t>
      </w:r>
      <w:r>
        <w:rPr>
          <w:rFonts w:ascii="Arial" w:hAnsi="Arial" w:cs="Arial"/>
          <w:color w:val="000000"/>
        </w:rPr>
        <w:lastRenderedPageBreak/>
        <w:t>администрации Потодеевского сельсовета Наровчатского района Пензенской области в информационно-телекоммуникационной сети «Интернет».</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исполнения настоящего постановления возложить на главу администрации Потодеевского сельсовета Наровчатского района Пензенской области.</w:t>
      </w:r>
    </w:p>
    <w:p w:rsidR="00FE3C81" w:rsidRDefault="00FE3C81" w:rsidP="00FE3C81">
      <w:pPr>
        <w:pStyle w:val="a3"/>
        <w:spacing w:before="0" w:beforeAutospacing="0" w:after="0" w:afterAutospacing="0"/>
        <w:jc w:val="right"/>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Потодеевского сельсовета</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Бочков А.А.</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Потодеевского сельсовета</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 Пензенской области</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от 04.06.2019г № 18</w:t>
      </w:r>
    </w:p>
    <w:p w:rsidR="00FE3C81" w:rsidRDefault="00FE3C81" w:rsidP="00FE3C81">
      <w:pPr>
        <w:pStyle w:val="a3"/>
        <w:spacing w:before="0" w:beforeAutospacing="0" w:after="0" w:afterAutospacing="0"/>
        <w:jc w:val="right"/>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Потодеевского сельсовета Наровчатского района Пензенской области»</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постановлений администрации Потодеевского сельсовета Наровчатского района Пензенской области </w:t>
      </w:r>
      <w:hyperlink r:id="rId10" w:tgtFrame="_blank" w:history="1">
        <w:r>
          <w:rPr>
            <w:rStyle w:val="hyperlink"/>
            <w:rFonts w:ascii="Arial" w:hAnsi="Arial" w:cs="Arial"/>
            <w:color w:val="0000FF"/>
          </w:rPr>
          <w:t>от 04.02.2020 № 4</w:t>
        </w:r>
      </w:hyperlink>
      <w:r>
        <w:rPr>
          <w:rFonts w:ascii="Arial" w:hAnsi="Arial" w:cs="Arial"/>
          <w:color w:val="000000"/>
        </w:rPr>
        <w:t>, </w:t>
      </w:r>
      <w:hyperlink r:id="rId11" w:tgtFrame="_blank" w:history="1">
        <w:r>
          <w:rPr>
            <w:rStyle w:val="hyperlink"/>
            <w:rFonts w:ascii="Arial" w:hAnsi="Arial" w:cs="Arial"/>
            <w:color w:val="0000FF"/>
          </w:rPr>
          <w:t>от 25.01.2021 № 3</w:t>
        </w:r>
      </w:hyperlink>
      <w:r>
        <w:rPr>
          <w:rStyle w:val="hyperlink"/>
          <w:rFonts w:ascii="Arial" w:hAnsi="Arial" w:cs="Arial"/>
          <w:color w:val="0000FF"/>
        </w:rPr>
        <w:t>, </w:t>
      </w:r>
      <w:hyperlink r:id="rId12" w:tgtFrame="_blank" w:history="1">
        <w:r>
          <w:rPr>
            <w:rStyle w:val="hyperlink"/>
            <w:rFonts w:ascii="Arial" w:hAnsi="Arial" w:cs="Arial"/>
            <w:color w:val="0000FF"/>
          </w:rPr>
          <w:t>от 25.10.2021 № 37</w:t>
        </w:r>
      </w:hyperlink>
      <w:r>
        <w:rPr>
          <w:rFonts w:ascii="Arial" w:hAnsi="Arial" w:cs="Arial"/>
          <w:color w:val="000000"/>
        </w:rPr>
        <w:t>)</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постановления администрации Потодеевского сельсовета Наровчатского района Пензенской области </w:t>
      </w:r>
      <w:hyperlink r:id="rId13" w:tgtFrame="_blank" w:history="1">
        <w:r>
          <w:rPr>
            <w:rStyle w:val="hyperlink"/>
            <w:rFonts w:ascii="Arial" w:hAnsi="Arial" w:cs="Arial"/>
            <w:color w:val="0000FF"/>
          </w:rPr>
          <w:t>от 11.08.2022 № 38</w:t>
        </w:r>
      </w:hyperlink>
      <w:r>
        <w:rPr>
          <w:rFonts w:ascii="Arial" w:hAnsi="Arial" w:cs="Arial"/>
          <w:color w:val="000000"/>
        </w:rPr>
        <w:t>)</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Потодеевскогосельсовета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Требования к порядку информирования о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о предоставлении администрацией Потодеевскогосельсовета Наровчатского района Пензенской области (далее - Администрация) муниципальной услуги осуществляется: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http://potodeevo.narovchat.pnzreg.ru/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области»(http://rrgu.pnzreg.ru/.) (далее – Региональный портал).</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Информация о порядке и сроках предоставления муниципальной услуги предоставляется заявителю бесплатно.</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Потодеевского сельсовета Наровчатского района Пензенской области».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-случай заключения договора на размещение нестационарного торгового объекта, в местах определенной схемой, без проведения аукциона;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15Федеральногозакона от 06.12.2011 № 402-ФЗ «О бухгалтерском учете»,приходящуюся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лица)банкротом и об открытии конкурсного производства, об отсутствии решения о приостановлении деятельности заявителя в порядке, предусмотренномКодексом Российской Федерации обадминистративных правонарушениях(документ представляется заявителем при подписании договора на размещение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Для индивидуальных предпринимателей, физических лиц, применяющих специальный налоговый режим «Налог на профессиональный доход»:</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Потодеевского сельсовета Наровчатского района Пензенской области </w:t>
      </w:r>
      <w:hyperlink r:id="rId14" w:tgtFrame="_blank" w:history="1">
        <w:r>
          <w:rPr>
            <w:rStyle w:val="hyperlink"/>
            <w:rFonts w:ascii="Arial" w:hAnsi="Arial" w:cs="Arial"/>
            <w:color w:val="0000FF"/>
          </w:rPr>
          <w:t>от 11.08.2022 № 38</w:t>
        </w:r>
      </w:hyperlink>
      <w:r>
        <w:rPr>
          <w:rFonts w:ascii="Arial" w:hAnsi="Arial" w:cs="Arial"/>
          <w:color w:val="000000"/>
        </w:rPr>
        <w:t>)</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впункте 10Порядка;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предусмотреннымподпунктом 2.1 пункта 2Положения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Потодеевского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предусмотренномуподпунктом 10.4 пункта 10Порядка, поданное с нарушением сроков, указанных вабзаце четвертом пункта 4Порядка.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2.13. Регистрация запроса заявителя о предоставлении муниципальной услуги осуществляется в день его получения. Запрос заявителя о предоставлении </w:t>
      </w:r>
      <w:r>
        <w:rPr>
          <w:rFonts w:ascii="Arial" w:hAnsi="Arial" w:cs="Arial"/>
          <w:color w:val="000000"/>
        </w:rPr>
        <w:lastRenderedPageBreak/>
        <w:t>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на информационных стендах Администрации, МФЦ;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постановления администрации Потодеевского сельсовета Наровчатского района Пензенской области </w:t>
      </w:r>
      <w:hyperlink r:id="rId15" w:tgtFrame="_blank" w:history="1">
        <w:r>
          <w:rPr>
            <w:rStyle w:val="hyperlink"/>
            <w:rFonts w:ascii="Arial" w:hAnsi="Arial" w:cs="Arial"/>
            <w:color w:val="0000FF"/>
          </w:rPr>
          <w:t>от 11.08.2022 № 38</w:t>
        </w:r>
      </w:hyperlink>
      <w:r>
        <w:rPr>
          <w:rFonts w:ascii="Arial" w:hAnsi="Arial" w:cs="Arial"/>
          <w:color w:val="000000"/>
        </w:rPr>
        <w:t>)</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оформляет расписку о приеме документов в 2-х экземплярах.</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 Проверка действительности усиленной квалифицированной электронной подписи заявителя</w:t>
      </w:r>
    </w:p>
    <w:p w:rsidR="00FE3C81" w:rsidRDefault="00FE3C81" w:rsidP="00FE3C81">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 с использованием которой подписаны заявка и прилагаемые к нему документы.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осуществляется проверка соблюдения следующих условий: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w:t>
      </w:r>
      <w:r>
        <w:rPr>
          <w:rFonts w:ascii="Arial" w:hAnsi="Arial" w:cs="Arial"/>
          <w:color w:val="000000"/>
        </w:rPr>
        <w:lastRenderedPageBreak/>
        <w:t>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w:t>
      </w:r>
      <w:r>
        <w:rPr>
          <w:rFonts w:ascii="Arial" w:hAnsi="Arial" w:cs="Arial"/>
          <w:color w:val="000000"/>
        </w:rPr>
        <w:lastRenderedPageBreak/>
        <w:t>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3.7.1.Основанием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Информация для заявителей об их праве на досудебное (внесудебное) обжалование действий (бездействия) и (или) </w:t>
      </w:r>
      <w:r>
        <w:rPr>
          <w:rFonts w:ascii="Arial" w:hAnsi="Arial" w:cs="Arial"/>
          <w:b/>
          <w:bCs/>
          <w:color w:val="000000"/>
          <w:sz w:val="30"/>
          <w:szCs w:val="30"/>
        </w:rPr>
        <w:lastRenderedPageBreak/>
        <w:t>решений, принятых (осуществленных) в ходе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r>
        <w:rPr>
          <w:rFonts w:ascii="Arial" w:hAnsi="Arial" w:cs="Arial"/>
          <w:color w:val="000000"/>
        </w:rPr>
        <w:lastRenderedPageBreak/>
        <w:t>МФЦ в информационно-телекоммуникационной сети «Интернет», Едином портале, Региональном портале, а также в устной и (или) письменной форме.</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6" w:tgtFrame="_blank" w:history="1">
        <w:r>
          <w:rPr>
            <w:rStyle w:val="hyperlink"/>
            <w:rFonts w:ascii="Arial" w:hAnsi="Arial" w:cs="Arial"/>
            <w:color w:val="0000FF"/>
          </w:rPr>
          <w:t>от 19.09.2018 № 33</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Потодеевского сельсовета Наровчатского района Пензенской области, должностных лиц, муниципальных служащих администрации Потодеевского сельсовета Наровчатского района Пензенской области при предоставлении муниципальных услуг».</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Потодеевского сельсовета</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FE3C81" w:rsidRDefault="00FE3C81" w:rsidP="00FE3C81">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Заявление о заключение договора на размещение нестационарного торгового объекта на территории Потодеевского сельсовета Наровчатского района Пензенской области без проведения аукциона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Потодеевского сельсоветаНаровчатского района Пензенской области без проведения аукциона.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(площадь, предназначенных для их размещения земельных участков, случай заключения договора)</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3C81" w:rsidRDefault="00FE3C81" w:rsidP="00FE3C81">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bookmarkStart w:id="2" w:name="bookmark14"/>
      <w:bookmarkEnd w:id="2"/>
    </w:p>
    <w:p w:rsidR="00FE3C81" w:rsidRDefault="00FE3C81" w:rsidP="00FE3C81">
      <w:pPr>
        <w:pStyle w:val="a3"/>
        <w:spacing w:before="0" w:beforeAutospacing="0" w:after="0" w:afterAutospacing="0"/>
        <w:jc w:val="right"/>
        <w:rPr>
          <w:rFonts w:ascii="Arial" w:hAnsi="Arial" w:cs="Arial"/>
          <w:color w:val="000000"/>
        </w:rPr>
      </w:pPr>
      <w:r>
        <w:rPr>
          <w:rFonts w:ascii="Arial" w:hAnsi="Arial" w:cs="Arial"/>
          <w:color w:val="000000"/>
        </w:rPr>
        <w:t> </w:t>
      </w:r>
    </w:p>
    <w:p w:rsidR="00FE3C81" w:rsidRDefault="00FE3C81" w:rsidP="00FE3C81">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327889" w:rsidRDefault="00327889">
      <w:bookmarkStart w:id="3" w:name="_GoBack"/>
      <w:bookmarkEnd w:id="3"/>
    </w:p>
    <w:sectPr w:rsidR="00327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9C"/>
    <w:rsid w:val="00327889"/>
    <w:rsid w:val="00AA7D9C"/>
    <w:rsid w:val="00FE3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6CD82-95DD-4211-B6F2-AC14CF60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E3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E3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E3C81"/>
  </w:style>
  <w:style w:type="character" w:customStyle="1" w:styleId="2">
    <w:name w:val="2"/>
    <w:basedOn w:val="a0"/>
    <w:rsid w:val="00FE3C81"/>
  </w:style>
  <w:style w:type="paragraph" w:customStyle="1" w:styleId="footer">
    <w:name w:val="footer"/>
    <w:basedOn w:val="a"/>
    <w:rsid w:val="00FE3C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9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35FFC2C-2041-40B0-9638-43C24C965DE1" TargetMode="External"/><Relationship Id="rId13" Type="http://schemas.openxmlformats.org/officeDocument/2006/relationships/hyperlink" Target="https://pravo-search.minjust.ru/bigs/showDocument.html?id=D1CFCA23-4EFD-44FC-AD19-07B2BF24AD7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D1CFCA23-4EFD-44FC-AD19-07B2BF24AD75" TargetMode="External"/><Relationship Id="rId12" Type="http://schemas.openxmlformats.org/officeDocument/2006/relationships/hyperlink" Target="https://pravo-search.minjust.ru/bigs/showDocument.html?id=40ADE933-7636-4800-8213-659323D4E23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5FBAB208-D576-4AE4-87CF-9B9E7B585F46" TargetMode="External"/><Relationship Id="rId1" Type="http://schemas.openxmlformats.org/officeDocument/2006/relationships/styles" Target="styles.xml"/><Relationship Id="rId6" Type="http://schemas.openxmlformats.org/officeDocument/2006/relationships/hyperlink" Target="https://pravo-search.minjust.ru/bigs/showDocument.html?id=40ADE933-7636-4800-8213-659323D4E23C" TargetMode="External"/><Relationship Id="rId11" Type="http://schemas.openxmlformats.org/officeDocument/2006/relationships/hyperlink" Target="https://pravo-search.minjust.ru/bigs/showDocument.html?id=835A8916-C837-400C-ABAB-C61EEAF36743" TargetMode="External"/><Relationship Id="rId5" Type="http://schemas.openxmlformats.org/officeDocument/2006/relationships/hyperlink" Target="https://pravo-search.minjust.ru/bigs/showDocument.html?id=835A8916-C837-400C-ABAB-C61EEAF36743" TargetMode="External"/><Relationship Id="rId15" Type="http://schemas.openxmlformats.org/officeDocument/2006/relationships/hyperlink" Target="https://pravo-search.minjust.ru/bigs/showDocument.html?id=D1CFCA23-4EFD-44FC-AD19-07B2BF24AD75" TargetMode="External"/><Relationship Id="rId10" Type="http://schemas.openxmlformats.org/officeDocument/2006/relationships/hyperlink" Target="https://pravo-search.minjust.ru/bigs/showDocument.html?id=73E3516F-6864-4558-BADC-265688DA7711" TargetMode="External"/><Relationship Id="rId4" Type="http://schemas.openxmlformats.org/officeDocument/2006/relationships/hyperlink" Target="https://pravo-search.minjust.ru/bigs/showDocument.html?id=73E3516F-6864-4558-BADC-265688DA7711" TargetMode="External"/><Relationship Id="rId9" Type="http://schemas.openxmlformats.org/officeDocument/2006/relationships/hyperlink" Target="https://pravo-search.minjust.ru/bigs/showDocument.html?id=835A8916-C837-400C-ABAB-C61EEAF36743" TargetMode="External"/><Relationship Id="rId14" Type="http://schemas.openxmlformats.org/officeDocument/2006/relationships/hyperlink" Target="https://pravo-search.minjust.ru/bigs/showDocument.html?id=D1CFCA23-4EFD-44FC-AD19-07B2BF24AD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8569</Words>
  <Characters>48845</Characters>
  <Application>Microsoft Office Word</Application>
  <DocSecurity>0</DocSecurity>
  <Lines>407</Lines>
  <Paragraphs>114</Paragraphs>
  <ScaleCrop>false</ScaleCrop>
  <Company/>
  <LinksUpToDate>false</LinksUpToDate>
  <CharactersWithSpaces>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2023-06-23T08:09:00Z</dcterms:created>
  <dcterms:modified xsi:type="dcterms:W3CDTF">2023-06-23T08:09:00Z</dcterms:modified>
</cp:coreProperties>
</file>