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E6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-253365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2E6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42E6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F342E6" w:rsidRPr="00A44E9C" w:rsidTr="00F342E6">
        <w:tc>
          <w:tcPr>
            <w:tcW w:w="10173" w:type="dxa"/>
          </w:tcPr>
          <w:p w:rsidR="00F342E6" w:rsidRPr="00A44E9C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F342E6" w:rsidRPr="00A44E9C" w:rsidTr="00F342E6">
        <w:trPr>
          <w:trHeight w:hRule="exact" w:val="896"/>
        </w:trPr>
        <w:tc>
          <w:tcPr>
            <w:tcW w:w="10173" w:type="dxa"/>
          </w:tcPr>
          <w:p w:rsidR="00F342E6" w:rsidRPr="00A44E9C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7B74D1" w:rsidRDefault="007B74D1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F342E6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97"/>
        <w:gridCol w:w="1134"/>
        <w:gridCol w:w="284"/>
      </w:tblGrid>
      <w:tr w:rsidR="00F342E6" w:rsidRPr="00A44E9C" w:rsidTr="00F342E6">
        <w:trPr>
          <w:gridAfter w:val="1"/>
          <w:wAfter w:w="284" w:type="dxa"/>
        </w:trPr>
        <w:tc>
          <w:tcPr>
            <w:tcW w:w="2835" w:type="dxa"/>
            <w:tcBorders>
              <w:bottom w:val="single" w:sz="6" w:space="0" w:color="auto"/>
            </w:tcBorders>
          </w:tcPr>
          <w:p w:rsidR="00F342E6" w:rsidRPr="00A44E9C" w:rsidRDefault="00F342E6" w:rsidP="00F342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397" w:type="dxa"/>
            <w:vAlign w:val="bottom"/>
          </w:tcPr>
          <w:p w:rsidR="00F342E6" w:rsidRPr="00A44E9C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342E6" w:rsidRPr="00A44E9C" w:rsidRDefault="00F342E6" w:rsidP="00F342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F342E6" w:rsidRPr="00A44E9C" w:rsidTr="00F342E6">
        <w:trPr>
          <w:trHeight w:val="422"/>
        </w:trPr>
        <w:tc>
          <w:tcPr>
            <w:tcW w:w="4650" w:type="dxa"/>
            <w:gridSpan w:val="4"/>
          </w:tcPr>
          <w:p w:rsidR="00F342E6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  <w:p w:rsidR="00F342E6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42E6" w:rsidRPr="00A44E9C" w:rsidRDefault="00F342E6" w:rsidP="00F3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42E6" w:rsidRPr="007B74D1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2E6" w:rsidRDefault="00F342E6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74D1" w:rsidRPr="007B74D1" w:rsidRDefault="007B74D1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 xml:space="preserve">01.11.2019 </w:t>
      </w:r>
      <w:r w:rsidRPr="00F342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 w:rsidRPr="00F34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 w:rsidRPr="00F342E6">
        <w:rPr>
          <w:rFonts w:ascii="Times New Roman" w:eastAsia="Times New Roman" w:hAnsi="Times New Roman" w:cs="Times New Roman"/>
          <w:sz w:val="28"/>
          <w:szCs w:val="28"/>
        </w:rPr>
        <w:t>58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 w:rsidR="00C77D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CA" w:rsidRPr="00C77D7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AE421B" w:rsidRP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1515E2">
        <w:rPr>
          <w:rFonts w:ascii="Times New Roman" w:eastAsia="Times New Roman" w:hAnsi="Times New Roman" w:cs="Times New Roman"/>
          <w:sz w:val="28"/>
          <w:szCs w:val="28"/>
        </w:rPr>
        <w:t>7.04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42E6" w:rsidRPr="00F342E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515E2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42E6" w:rsidRPr="00F34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2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 w:rsidRPr="00F34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5E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6EA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1.4.)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="002270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2270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2270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2270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2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42E6" w:rsidRPr="00F342E6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Pr="00F342E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188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F318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Default="00F342E6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2D2B8C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342E6">
        <w:rPr>
          <w:rFonts w:ascii="Times New Roman" w:eastAsia="Times New Roman" w:hAnsi="Times New Roman" w:cs="Times New Roman"/>
          <w:sz w:val="28"/>
          <w:szCs w:val="28"/>
        </w:rPr>
        <w:t>Л.А.Свищева</w:t>
      </w: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1515E2" w:rsidRPr="007B74D1" w:rsidRDefault="001515E2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Pr="007B74D1" w:rsidRDefault="00F342E6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2D2B8C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5E2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515E2">
        <w:rPr>
          <w:rFonts w:ascii="Times New Roman" w:eastAsia="Times New Roman" w:hAnsi="Times New Roman" w:cs="Times New Roman"/>
          <w:sz w:val="28"/>
          <w:szCs w:val="28"/>
        </w:rPr>
        <w:t xml:space="preserve"> 33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FB1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(бюджетные,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автономные);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предприятия;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прекративших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наделов;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благотворительного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гражданско-правовые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специальностям,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пчеловодства)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0D9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относящимся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общинам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лет;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275-ФЗ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заказе",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делопроизводства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(www.gosuslugi.ru)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(https://gosuslugi.pnzreg.ru)»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 (далее - МФЦ):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(уведомлений,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сообщений),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5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15E2" w:rsidRPr="001515E2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Pr="001515E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осуществляющими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(пребывания)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5242-1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земельным участком;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(возвращение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коммунально-бытового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принявшим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застройщика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пострадавших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долевом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(создания)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состоящих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электро-,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тепл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газо-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водоснабжения,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водоотведения,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нефтепроводов,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множественностью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землепользователям,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сенокошения,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выпаса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недрами,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недропользователю;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управляющей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зоны.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концессионным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23.2)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охотничьего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гидротехнических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придорожных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акционерного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декларацией;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добычу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(вылов)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рыболовным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веществ,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31)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536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t>2.6.3.1.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перераспределение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Минэкономразвития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12.01.2015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A76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го административного 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«Единая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аутентификации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пожизненного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наследуемого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55.32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линейного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аварийным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13 июля 2015 №218-ФЗ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межевания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«Гигиенические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машинам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2.2.2/2.4.1340-03».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собак-проводников).</w:t>
      </w:r>
    </w:p>
    <w:p w:rsidR="00040D91" w:rsidRDefault="007B74D1" w:rsidP="00040D91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91DD9">
        <w:rPr>
          <w:rFonts w:ascii="Times New Roman" w:hAnsi="Times New Roman"/>
          <w:sz w:val="28"/>
          <w:szCs w:val="28"/>
        </w:rPr>
        <w:t>Помещения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для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предоставления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муниципальной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услуги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размещаются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на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нижних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этажах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зданий,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оборудованных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отдельным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входом,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или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отдельно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стоящих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зданиях.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="00040D91" w:rsidRPr="00491DD9">
        <w:rPr>
          <w:rFonts w:ascii="Times New Roman" w:hAnsi="Times New Roman"/>
          <w:position w:val="-2"/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</w:t>
      </w:r>
      <w:r w:rsidR="00040D91" w:rsidRPr="00491DD9">
        <w:rPr>
          <w:rFonts w:ascii="Times New Roman" w:hAnsi="Times New Roman"/>
          <w:position w:val="-2"/>
          <w:sz w:val="28"/>
          <w:szCs w:val="28"/>
        </w:rPr>
        <w:lastRenderedPageBreak/>
        <w:t>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учитывающие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окна",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D91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040D9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040D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2.14.11.При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объясняет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уникального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структурное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подразделение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(сотрудника),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накладывает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первичную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(шесть)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(недостаточностью)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(десять)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6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прохождением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неявки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непригодными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(пригодными)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(граждане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вносимых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муниципальную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МФЦ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муниципальных служащих, работников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исправлений.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публично-правового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посредством:</w:t>
      </w:r>
    </w:p>
    <w:p w:rsidR="001515E2" w:rsidRDefault="007B74D1" w:rsidP="007B74D1">
      <w:pPr>
        <w:spacing w:after="0" w:line="240" w:lineRule="auto"/>
        <w:ind w:firstLine="473"/>
        <w:jc w:val="both"/>
        <w:rPr>
          <w:rFonts w:ascii="Times New Roman" w:hAnsi="Times New Roman"/>
          <w:position w:val="-2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5E2" w:rsidRPr="00BF4B3A">
        <w:rPr>
          <w:rFonts w:ascii="Times New Roman" w:hAnsi="Times New Roman"/>
          <w:position w:val="-2"/>
          <w:sz w:val="28"/>
          <w:szCs w:val="28"/>
        </w:rPr>
        <w:t>http://vilyaiki.narovchat.pnzreg.ru</w:t>
      </w:r>
      <w:r w:rsidR="001515E2" w:rsidRPr="00B51905">
        <w:rPr>
          <w:rFonts w:ascii="Times New Roman" w:hAnsi="Times New Roman"/>
          <w:position w:val="-2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(процедура)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применяются.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(номера)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(адреса)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Жалоба,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удовлетворяется,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  <w:proofErr w:type="gramEnd"/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отказывается.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неудобства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  <w:proofErr w:type="gramEnd"/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  <w:proofErr w:type="gramEnd"/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40D91" w:rsidSect="00040D9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0D91" w:rsidRPr="00040D91" w:rsidRDefault="00040D91" w:rsidP="00040D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sz w:val="28"/>
          <w:szCs w:val="28"/>
        </w:rPr>
        <w:lastRenderedPageBreak/>
        <w:t xml:space="preserve"> </w:t>
      </w:r>
      <w:r w:rsidRPr="00040D91"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заявлению</w:t>
      </w:r>
    </w:p>
    <w:p w:rsidR="00040D91" w:rsidRPr="00040D91" w:rsidRDefault="00040D91" w:rsidP="00040D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40D91" w:rsidRPr="00040D91" w:rsidRDefault="00040D91" w:rsidP="00040D9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ДОКУМЕНТА,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ПОДТВЕРЖДАЮЩЕГО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СОГЛАСИЕ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СУБЪЕКТОВ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УКАЗАННЫХ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ЗАЯВЛЕНИИ,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ОБРАБОТКУ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ЭТИХ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ЛИЦ</w:t>
      </w:r>
    </w:p>
    <w:p w:rsidR="00040D91" w:rsidRPr="00040D91" w:rsidRDefault="00040D91" w:rsidP="00040D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20655" w:type="dxa"/>
        <w:tblCellMar>
          <w:left w:w="0" w:type="dxa"/>
          <w:right w:w="0" w:type="dxa"/>
        </w:tblCellMar>
        <w:tblLook w:val="04A0"/>
      </w:tblPr>
      <w:tblGrid>
        <w:gridCol w:w="2594"/>
        <w:gridCol w:w="13459"/>
        <w:gridCol w:w="4602"/>
      </w:tblGrid>
      <w:tr w:rsidR="00040D91" w:rsidRPr="00040D91" w:rsidTr="00040D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Номер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основного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удостоверяющего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личность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End"/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выдачи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выдавший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Реквизиты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доверенности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подтверждающего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полномочия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получении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фамилию,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осуществляющего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такому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данными,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совершение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описание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используемых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Срок,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течение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действует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также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отзыва,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установлено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Настоящим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выражаю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моих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предусмотренную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частью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статьи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"О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данных",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целях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Администрацией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(на),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что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мною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являются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необходимыми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указанной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будут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подвергнуты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предусмотренной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152-ФЗ.</w:t>
            </w:r>
          </w:p>
        </w:tc>
      </w:tr>
      <w:tr w:rsidR="00040D91" w:rsidRPr="00040D91" w:rsidTr="00040D91">
        <w:tc>
          <w:tcPr>
            <w:tcW w:w="2531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Подпись</w:t>
            </w:r>
          </w:p>
        </w:tc>
        <w:tc>
          <w:tcPr>
            <w:tcW w:w="13166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556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</w:tr>
    </w:tbl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>
      <w:pPr>
        <w:rPr>
          <w:rFonts w:ascii="Times New Roman" w:hAnsi="Times New Roman" w:cs="Times New Roman"/>
          <w:sz w:val="28"/>
          <w:szCs w:val="28"/>
        </w:rPr>
      </w:pPr>
    </w:p>
    <w:sectPr w:rsidR="007B74D1" w:rsidRPr="007B74D1" w:rsidSect="00040D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4D1"/>
    <w:rsid w:val="00040D91"/>
    <w:rsid w:val="001515E2"/>
    <w:rsid w:val="002170E6"/>
    <w:rsid w:val="002270CA"/>
    <w:rsid w:val="002D2B8C"/>
    <w:rsid w:val="0033612D"/>
    <w:rsid w:val="004737DD"/>
    <w:rsid w:val="00491DD9"/>
    <w:rsid w:val="004C0A76"/>
    <w:rsid w:val="00535C67"/>
    <w:rsid w:val="005E3E18"/>
    <w:rsid w:val="006759F3"/>
    <w:rsid w:val="006A6EA8"/>
    <w:rsid w:val="006C518A"/>
    <w:rsid w:val="007B74D1"/>
    <w:rsid w:val="00AE421B"/>
    <w:rsid w:val="00BE3394"/>
    <w:rsid w:val="00C77D7D"/>
    <w:rsid w:val="00EF3188"/>
    <w:rsid w:val="00F342E6"/>
    <w:rsid w:val="00FB12C3"/>
    <w:rsid w:val="00FD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F3"/>
  </w:style>
  <w:style w:type="paragraph" w:styleId="2">
    <w:name w:val="heading 2"/>
    <w:basedOn w:val="a"/>
    <w:link w:val="20"/>
    <w:uiPriority w:val="9"/>
    <w:qFormat/>
    <w:rsid w:val="00040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B74D1"/>
  </w:style>
  <w:style w:type="paragraph" w:customStyle="1" w:styleId="ConsPlusNormal">
    <w:name w:val="ConsPlusNormal"/>
    <w:link w:val="ConsPlusNormal0"/>
    <w:uiPriority w:val="99"/>
    <w:qFormat/>
    <w:rsid w:val="00040D9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40D9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40D9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51</Pages>
  <Words>18684</Words>
  <Characters>106505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10</cp:revision>
  <cp:lastPrinted>2020-06-18T09:00:00Z</cp:lastPrinted>
  <dcterms:created xsi:type="dcterms:W3CDTF">2020-06-18T06:24:00Z</dcterms:created>
  <dcterms:modified xsi:type="dcterms:W3CDTF">2020-06-27T13:01:00Z</dcterms:modified>
</cp:coreProperties>
</file>