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B7780" w:rsidTr="003B77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7780" w:rsidRDefault="003B7780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B7780" w:rsidRDefault="003B7780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3B7780" w:rsidRDefault="003B77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780" w:rsidRDefault="003B7780">
      <w:pPr>
        <w:pStyle w:val="ConsPlusNormal"/>
        <w:jc w:val="center"/>
      </w:pPr>
    </w:p>
    <w:p w:rsidR="003B7780" w:rsidRDefault="003B7780">
      <w:pPr>
        <w:pStyle w:val="ConsPlusTitle"/>
        <w:jc w:val="center"/>
      </w:pPr>
      <w:r>
        <w:t>РОССИЙСКАЯ ФЕДЕРАЦИЯ</w:t>
      </w:r>
    </w:p>
    <w:p w:rsidR="003B7780" w:rsidRDefault="003B7780">
      <w:pPr>
        <w:pStyle w:val="ConsPlusTitle"/>
        <w:jc w:val="center"/>
      </w:pPr>
    </w:p>
    <w:p w:rsidR="003B7780" w:rsidRDefault="003B7780">
      <w:pPr>
        <w:pStyle w:val="ConsPlusTitle"/>
        <w:jc w:val="center"/>
      </w:pPr>
      <w:r>
        <w:t>ФЕДЕРАЛЬНЫЙ ЗАКОН</w:t>
      </w:r>
    </w:p>
    <w:p w:rsidR="003B7780" w:rsidRDefault="003B7780">
      <w:pPr>
        <w:pStyle w:val="ConsPlusTitle"/>
        <w:jc w:val="center"/>
      </w:pPr>
    </w:p>
    <w:p w:rsidR="003B7780" w:rsidRDefault="003B7780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jc w:val="right"/>
      </w:pPr>
      <w:r>
        <w:t>Принят</w:t>
      </w:r>
    </w:p>
    <w:p w:rsidR="003B7780" w:rsidRDefault="003B7780">
      <w:pPr>
        <w:pStyle w:val="ConsPlusNormal"/>
        <w:jc w:val="right"/>
      </w:pPr>
      <w:r>
        <w:t>Государственной Думой</w:t>
      </w:r>
    </w:p>
    <w:p w:rsidR="003B7780" w:rsidRDefault="003B7780">
      <w:pPr>
        <w:pStyle w:val="ConsPlusNormal"/>
        <w:jc w:val="right"/>
      </w:pPr>
      <w:r>
        <w:t>23 декабря 2009 года</w:t>
      </w:r>
    </w:p>
    <w:p w:rsidR="003B7780" w:rsidRDefault="003B7780">
      <w:pPr>
        <w:pStyle w:val="ConsPlusNormal"/>
        <w:jc w:val="right"/>
      </w:pPr>
    </w:p>
    <w:p w:rsidR="003B7780" w:rsidRDefault="003B7780">
      <w:pPr>
        <w:pStyle w:val="ConsPlusNormal"/>
        <w:jc w:val="right"/>
      </w:pPr>
      <w:r>
        <w:t>Одобрен</w:t>
      </w:r>
    </w:p>
    <w:p w:rsidR="003B7780" w:rsidRDefault="003B7780">
      <w:pPr>
        <w:pStyle w:val="ConsPlusNormal"/>
        <w:jc w:val="right"/>
      </w:pPr>
      <w:r>
        <w:t>Советом Федерации</w:t>
      </w:r>
    </w:p>
    <w:p w:rsidR="003B7780" w:rsidRDefault="003B7780">
      <w:pPr>
        <w:pStyle w:val="ConsPlusNormal"/>
        <w:jc w:val="right"/>
      </w:pPr>
      <w:r>
        <w:t>25 декабря 2009 года</w:t>
      </w:r>
    </w:p>
    <w:p w:rsidR="003B7780" w:rsidRDefault="003B778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B7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780" w:rsidRDefault="003B778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780" w:rsidRDefault="003B778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780" w:rsidRDefault="003B77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780" w:rsidRDefault="003B77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02.07.2013 N 185-ФЗ)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780" w:rsidRDefault="003B7780">
            <w:pPr>
              <w:spacing w:after="1" w:line="0" w:lineRule="atLeast"/>
            </w:pPr>
          </w:p>
        </w:tc>
      </w:tr>
    </w:tbl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jc w:val="center"/>
        <w:outlineLvl w:val="0"/>
      </w:pPr>
      <w:r>
        <w:t>Глава 1. ОБЩИЕ ПОЛОЖЕНИЯ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охраны окружающей среды, жизни и здоровья животных и растений;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обеспечения энергетической эффективности зданий и сооружений.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lastRenderedPageBreak/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14) помещение - часть объема здания или сооружения, имеющая определенное назначение </w:t>
      </w:r>
      <w:r>
        <w:lastRenderedPageBreak/>
        <w:t>и ограниченная строительными конструкциями;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0" w:name="P48"/>
      <w:bookmarkEnd w:id="0"/>
      <w:r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27) усталостные явления в материале - изменение механических и физических свойств </w:t>
      </w:r>
      <w:r>
        <w:lastRenderedPageBreak/>
        <w:t>материала под длительным действием циклически изменяющихся во времени напряжений и деформаций;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8" w:history="1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механической безопасности;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lastRenderedPageBreak/>
        <w:t>2) пожарной безопасности;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безопасных для здоровья человека условий проживания и пребывания в зданиях и сооружениях;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5) безопасности для пользователей зданиями и сооружениями;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7) энергетической эффективности зданий и сооружений;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4. Идентификация зданий и сооружений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bookmarkStart w:id="1" w:name="P82"/>
      <w:bookmarkEnd w:id="1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2" w:name="P83"/>
      <w:bookmarkEnd w:id="2"/>
      <w:r>
        <w:t>1) назначение;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3" w:name="P84"/>
      <w:bookmarkEnd w:id="3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4" w:name="P85"/>
      <w:bookmarkEnd w:id="4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4) принадлежность к </w:t>
      </w:r>
      <w:hyperlink r:id="rId9" w:history="1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6" w:name="P87"/>
      <w:bookmarkEnd w:id="6"/>
      <w:r>
        <w:t xml:space="preserve">5) пожарная и взрывопожарная </w:t>
      </w:r>
      <w:hyperlink r:id="rId10" w:history="1">
        <w:r>
          <w:rPr>
            <w:color w:val="0000FF"/>
          </w:rPr>
          <w:t>опасность</w:t>
        </w:r>
      </w:hyperlink>
      <w:r>
        <w:t>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7" w:name="P88"/>
      <w:bookmarkEnd w:id="7"/>
      <w:r>
        <w:t xml:space="preserve">6) наличие </w:t>
      </w:r>
      <w:hyperlink w:anchor="P48" w:history="1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8" w:name="P89"/>
      <w:bookmarkEnd w:id="8"/>
      <w:r>
        <w:t>7) уровень ответственности.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83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84" w:history="1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85" w:history="1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86" w:history="1">
        <w:r>
          <w:rPr>
            <w:color w:val="0000FF"/>
          </w:rPr>
          <w:t xml:space="preserve">пунктом 4 части </w:t>
        </w:r>
        <w:r>
          <w:rPr>
            <w:color w:val="0000FF"/>
          </w:rPr>
          <w:lastRenderedPageBreak/>
          <w:t>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87" w:history="1">
        <w:r>
          <w:rPr>
            <w:color w:val="0000FF"/>
          </w:rPr>
          <w:t>пунктом 5 части 1</w:t>
        </w:r>
      </w:hyperlink>
      <w:r>
        <w:t xml:space="preserve"> настоящей статьи, должна проводиться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88" w:history="1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9" w:name="P95"/>
      <w:bookmarkEnd w:id="9"/>
      <w:r>
        <w:t xml:space="preserve">7. В результате идентификации здания или сооружения по признаку, предусмотренному </w:t>
      </w:r>
      <w:hyperlink w:anchor="P89" w:history="1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повышенный;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нормальный;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пониженный.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10" w:name="P99"/>
      <w:bookmarkEnd w:id="10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 xml:space="preserve"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</w:t>
      </w:r>
      <w:hyperlink r:id="rId13" w:history="1">
        <w:r>
          <w:rPr>
            <w:color w:val="0000FF"/>
          </w:rPr>
          <w:t>вспомогательного</w:t>
        </w:r>
      </w:hyperlink>
      <w:r>
        <w:t xml:space="preserve">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11. Идентификационные признаки, предусмотренные </w:t>
      </w:r>
      <w:hyperlink w:anchor="P82" w:history="1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 xml:space="preserve"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</w:t>
      </w:r>
      <w:r>
        <w:lastRenderedPageBreak/>
        <w:t>уровне в процессе эксплуатации, консервации и сноса.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требований специальных технических условий.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bookmarkStart w:id="12" w:name="P113"/>
      <w:bookmarkEnd w:id="12"/>
      <w:r>
        <w:t xml:space="preserve">1. Правительство Российской Федерации утверждает </w:t>
      </w:r>
      <w:hyperlink r:id="rId14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3.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4.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5. Национальный </w:t>
      </w:r>
      <w:hyperlink r:id="rId15" w:history="1">
        <w:r>
          <w:rPr>
            <w:color w:val="0000FF"/>
          </w:rPr>
          <w:t>орган</w:t>
        </w:r>
      </w:hyperlink>
      <w: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6.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13" w:name="P119"/>
      <w:bookmarkEnd w:id="13"/>
      <w:r>
        <w:t xml:space="preserve">7. Национальным органом Российской Федерации по стандартизации в соответствии с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</w:t>
      </w:r>
      <w:hyperlink r:id="rId17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</w:t>
      </w:r>
      <w:r>
        <w:lastRenderedPageBreak/>
        <w:t>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 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18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jc w:val="center"/>
        <w:outlineLvl w:val="0"/>
      </w:pPr>
      <w:r>
        <w:t>Глава 2. ОБЩИЕ ТРЕБОВАНИЯ БЕЗОПАСНОСТИ</w:t>
      </w:r>
    </w:p>
    <w:p w:rsidR="003B7780" w:rsidRDefault="003B7780">
      <w:pPr>
        <w:pStyle w:val="ConsPlusTitle"/>
        <w:jc w:val="center"/>
      </w:pPr>
      <w:r>
        <w:t>ЗДАНИЙ И СООРУЖЕНИЙ, А ТАКЖЕ СВЯЗАННЫХ СО ЗДАНИЯМИ</w:t>
      </w:r>
    </w:p>
    <w:p w:rsidR="003B7780" w:rsidRDefault="003B7780">
      <w:pPr>
        <w:pStyle w:val="ConsPlusTitle"/>
        <w:jc w:val="center"/>
      </w:pPr>
      <w:r>
        <w:t>И С СООРУЖЕНИЯМИ ПРОЦЕССОВ ПРОЕКТИРОВАНИЯ (ВКЛЮЧАЯ</w:t>
      </w:r>
    </w:p>
    <w:p w:rsidR="003B7780" w:rsidRDefault="003B7780">
      <w:pPr>
        <w:pStyle w:val="ConsPlusTitle"/>
        <w:jc w:val="center"/>
      </w:pPr>
      <w:r>
        <w:t>ИЗЫСКАНИЯ), СТРОИТЕЛЬСТВА, МОНТАЖА, НАЛАДКИ,</w:t>
      </w:r>
    </w:p>
    <w:p w:rsidR="003B7780" w:rsidRDefault="003B7780">
      <w:pPr>
        <w:pStyle w:val="ConsPlusTitle"/>
        <w:jc w:val="center"/>
      </w:pPr>
      <w:r>
        <w:t>ЭКСПЛУАТАЦИИ И УТИЛИЗАЦИИ (СНОСА)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bookmarkStart w:id="14" w:name="P129"/>
      <w:bookmarkEnd w:id="14"/>
      <w:r>
        <w:t>Статья 7. Требования механической безопасности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разрушения всего здания, сооружения или их части;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8. Требования пожарной безопасности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1) сохранение устойчивости здания или сооружения, а также прочности несущих </w:t>
      </w:r>
      <w:r>
        <w:lastRenderedPageBreak/>
        <w:t>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ограничение образования и распространения опасных факторов пожара в пределах очага пожара;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нераспространение пожара на соседние здания 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6) возможность подачи огнетушащих веществ в очаг пожара;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29" w:history="1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4) естественное и искусственное </w:t>
      </w:r>
      <w:hyperlink r:id="rId19" w:history="1">
        <w:r>
          <w:rPr>
            <w:color w:val="0000FF"/>
          </w:rPr>
          <w:t>освещение</w:t>
        </w:r>
      </w:hyperlink>
      <w:r>
        <w:t xml:space="preserve"> помещений;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5) защита от </w:t>
      </w:r>
      <w:hyperlink r:id="rId20" w:history="1">
        <w:r>
          <w:rPr>
            <w:color w:val="0000FF"/>
          </w:rPr>
          <w:t>шума</w:t>
        </w:r>
      </w:hyperlink>
      <w:r>
        <w:t xml:space="preserve"> в помещениях жилых и общественных зданий и в рабочих зонах </w:t>
      </w:r>
      <w:r>
        <w:lastRenderedPageBreak/>
        <w:t>производственных зданий и сооружений;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6) микроклимат помещений;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jc w:val="center"/>
        <w:outlineLvl w:val="0"/>
      </w:pPr>
      <w:r>
        <w:t>Глава 3. ТРЕБОВАНИЯ К РЕЗУЛЬТАТАМ ИНЖЕНЕРНЫХ ИЗЫСКАНИЙ</w:t>
      </w:r>
    </w:p>
    <w:p w:rsidR="003B7780" w:rsidRDefault="003B7780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3B7780" w:rsidRDefault="003B7780">
      <w:pPr>
        <w:pStyle w:val="ConsPlusTitle"/>
        <w:jc w:val="center"/>
      </w:pPr>
      <w:r>
        <w:t>ЗДАНИЙ И СООРУЖЕНИЙ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 xml:space="preserve">Статья 15. Общие требования к результатам инженерных изысканий и проектной </w:t>
      </w:r>
      <w:r>
        <w:lastRenderedPageBreak/>
        <w:t>документации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95" w:history="1">
        <w:r>
          <w:rPr>
            <w:color w:val="0000FF"/>
          </w:rPr>
          <w:t>частями 7</w:t>
        </w:r>
      </w:hyperlink>
      <w:r>
        <w:t xml:space="preserve"> - </w:t>
      </w:r>
      <w:hyperlink w:anchor="P101" w:history="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99" w:history="1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15" w:name="P195"/>
      <w:bookmarkEnd w:id="15"/>
      <w: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</w:t>
      </w:r>
      <w:hyperlink r:id="rId22" w:history="1">
        <w:r>
          <w:rPr>
            <w:color w:val="0000FF"/>
          </w:rPr>
          <w:t>обоснованы</w:t>
        </w:r>
      </w:hyperlink>
      <w:r>
        <w:t xml:space="preserve">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результаты исследований;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lastRenderedPageBreak/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7. При обосновании, предусмотренном </w:t>
      </w:r>
      <w:hyperlink w:anchor="P195" w:history="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26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229" w:history="1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lastRenderedPageBreak/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разрушением любого характера;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потерей устойчивости формы;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потерей устойчивости положения;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факторы, определяющие напряженно-деформированное состояние;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пространственная работа строительных конструкций;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геометрическая и физическая нелинейность;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5) пластические и реологические свойства материалов и грунтов;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6) возможность образования трещин;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16" w:name="P226"/>
      <w:bookmarkEnd w:id="16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17" w:name="P229"/>
      <w:bookmarkEnd w:id="17"/>
      <w:r>
        <w:lastRenderedPageBreak/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17. Требования к обеспечению пожарной безопасности здания или сооружения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принятое разделение здания или сооружения на пожарные отсеки;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lastRenderedPageBreak/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меры по улучшению свойств грунтов основания;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bookmarkStart w:id="18" w:name="P278"/>
      <w:bookmarkEnd w:id="18"/>
      <w: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r:id="rId23" w:history="1">
        <w:r>
          <w:rPr>
            <w:color w:val="0000FF"/>
          </w:rPr>
          <w:t>инсоляции или солнцезащита</w:t>
        </w:r>
      </w:hyperlink>
      <w:r>
        <w:t xml:space="preserve"> в целях создания безопасных условий проживания независимо от его срока.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2. Выполнение требований, предусмотренных </w:t>
      </w:r>
      <w:hyperlink w:anchor="P278" w:history="1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23. Требования к обеспечению освещения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lastRenderedPageBreak/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r:id="rId24" w:history="1">
        <w:r>
          <w:rPr>
            <w:color w:val="0000FF"/>
          </w:rPr>
          <w:t>освещение</w:t>
        </w:r>
      </w:hyperlink>
      <w:r>
        <w:t>, а в подземных этажах - искусственное освещение, достаточное для предотвращения угрозы причинения вреда здоровью людей.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ударного шума;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шума, создаваемого оборудованием;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5) чрезмерного реверберирующего шума в помещении.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3. Защита от </w:t>
      </w:r>
      <w:hyperlink r:id="rId25" w:history="1">
        <w:r>
          <w:rPr>
            <w:color w:val="0000FF"/>
          </w:rPr>
          <w:t>шума</w:t>
        </w:r>
      </w:hyperlink>
      <w:r>
        <w:t xml:space="preserve"> должна быть обеспечена: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в помещениях жилых, общественных и производственных зданий;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2) водонепроницаемость кровли, наружных стен, перекрытий, а также стен подземных </w:t>
      </w:r>
      <w:r>
        <w:lastRenderedPageBreak/>
        <w:t>этажей и полов по грунту;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29. Требования к микроклимату помещения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bookmarkStart w:id="19" w:name="P324"/>
      <w:bookmarkEnd w:id="19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lastRenderedPageBreak/>
        <w:t>4) сопротивление воздухопроницанию ограждающих строительных конструкций;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6) теплоусвоение поверхности полов.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2. Наряду с требованиями, предусмотренными </w:t>
      </w:r>
      <w:hyperlink w:anchor="P324" w:history="1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41" w:history="1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температура воздуха внутри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результирующая температура;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скорость движения воздуха;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относительная влажность воздуха.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bookmarkStart w:id="20" w:name="P341"/>
      <w:bookmarkEnd w:id="20"/>
      <w:r>
        <w:t>Статья 30. Требования безопасности для пользователей зданиями и сооружениями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</w:t>
      </w:r>
      <w:r>
        <w:lastRenderedPageBreak/>
        <w:t>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21" w:name="P357"/>
      <w:bookmarkEnd w:id="21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lastRenderedPageBreak/>
        <w:t xml:space="preserve">8. Параметры путей перемещения, оснащение специальными устройствами и размеры помещений для указанных в </w:t>
      </w:r>
      <w:hyperlink w:anchor="P357" w:history="1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195" w:history="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соблюдение правил безопасной установки теплогенераторов и установок для сжиженных газов;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3B7780" w:rsidRDefault="003B7780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</w:t>
      </w:r>
      <w:r>
        <w:lastRenderedPageBreak/>
        <w:t>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27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33. Требования к предупреждению действий, вводящих в заблуждение приобретателей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82" w:history="1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срок эксплуатации здания или сооружения и их частей;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степень огнестойкости здания или сооружения.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jc w:val="center"/>
        <w:outlineLvl w:val="0"/>
      </w:pPr>
      <w:r>
        <w:t>Глава 4. ОБЕСПЕЧЕНИЕ БЕЗОПАСНОСТИ ЗДАНИЙ И СООРУЖЕНИЙ</w:t>
      </w:r>
    </w:p>
    <w:p w:rsidR="003B7780" w:rsidRDefault="003B7780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3B7780" w:rsidRDefault="003B7780">
      <w:pPr>
        <w:pStyle w:val="ConsPlusTitle"/>
        <w:jc w:val="center"/>
      </w:pPr>
      <w:r>
        <w:t>И ТЕКУЩЕГО РЕМОНТА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lastRenderedPageBreak/>
        <w:t xml:space="preserve">2. Строительные материалы и изделия должны соответствовать требованиям, установленным в соответствии с </w:t>
      </w:r>
      <w:hyperlink r:id="rId2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29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jc w:val="center"/>
        <w:outlineLvl w:val="0"/>
      </w:pPr>
      <w:r>
        <w:t>Глава 5. ОБЕСПЕЧЕНИЕ БЕЗОПАСНОСТИ ЗДАНИЙ И СООРУЖЕНИЙ</w:t>
      </w:r>
    </w:p>
    <w:p w:rsidR="003B7780" w:rsidRDefault="003B7780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3B7780" w:rsidRDefault="003B7780">
      <w:pPr>
        <w:pStyle w:val="ConsPlusTitle"/>
        <w:jc w:val="center"/>
      </w:pPr>
      <w:r>
        <w:t>И В ПРОЦЕССЕ СНОСА (ДЕМОНТАЖА)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36. Требования к обеспечению безопасности зданий и сооружений в процессе эксплуатации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30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</w:t>
      </w:r>
      <w:r>
        <w:lastRenderedPageBreak/>
        <w:t xml:space="preserve">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jc w:val="center"/>
        <w:outlineLvl w:val="0"/>
      </w:pPr>
      <w:r>
        <w:t>Глава 6. ОЦЕНКА СООТВЕТСТВИЯ ЗДАНИЙ И СООРУЖЕНИЙ,</w:t>
      </w:r>
    </w:p>
    <w:p w:rsidR="003B7780" w:rsidRDefault="003B7780">
      <w:pPr>
        <w:pStyle w:val="ConsPlusTitle"/>
        <w:jc w:val="center"/>
      </w:pPr>
      <w:r>
        <w:t>А ТАКЖЕ СВЯЗАННЫХ СО ЗДАНИЯМИ И С СООРУЖЕНИЯМИ ПРОЦЕССОВ</w:t>
      </w:r>
    </w:p>
    <w:p w:rsidR="003B7780" w:rsidRDefault="003B7780">
      <w:pPr>
        <w:pStyle w:val="ConsPlusTitle"/>
        <w:jc w:val="center"/>
      </w:pPr>
      <w:r>
        <w:t>ПРОЕКТИРОВАНИЯ (ВКЛЮЧАЯ ИЗЫСКАНИЯ), СТРОИТЕЛЬСТВА, МОНТАЖА,</w:t>
      </w:r>
    </w:p>
    <w:p w:rsidR="003B7780" w:rsidRDefault="003B7780">
      <w:pPr>
        <w:pStyle w:val="ConsPlusTitle"/>
        <w:jc w:val="center"/>
      </w:pPr>
      <w:r>
        <w:t>НАЛАДКИ, ЭКСПЛУАТАЦИИ И УТИЛИЗАЦИИ (СНОСА)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целях: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22" w:name="P445"/>
      <w:bookmarkEnd w:id="22"/>
      <w:r>
        <w:t xml:space="preserve">1) заявления о соответствии проектной документации требованиям настоящего </w:t>
      </w:r>
      <w:r>
        <w:lastRenderedPageBreak/>
        <w:t>Федерального закона;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23" w:name="P446"/>
      <w:bookmarkEnd w:id="23"/>
      <w:r>
        <w:t>2) государственной экспертизы результатов инженерных изысканий и проектной документации;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строительного контроля;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24" w:name="P448"/>
      <w:bookmarkEnd w:id="24"/>
      <w:r>
        <w:t>4) государственного строительного надзора;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25" w:name="P449"/>
      <w:bookmarkEnd w:id="25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26" w:name="P450"/>
      <w:bookmarkEnd w:id="26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3B7780" w:rsidRDefault="003B7780">
      <w:pPr>
        <w:pStyle w:val="ConsPlusNormal"/>
        <w:spacing w:before="220"/>
        <w:ind w:firstLine="540"/>
        <w:jc w:val="both"/>
      </w:pPr>
      <w:bookmarkStart w:id="27" w:name="P451"/>
      <w:bookmarkEnd w:id="27"/>
      <w:r>
        <w:t>7) ввода объекта в эксплуатацию.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48" w:history="1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49" w:history="1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50" w:history="1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- </w:t>
      </w:r>
      <w:hyperlink w:anchor="P448" w:history="1">
        <w:r>
          <w:rPr>
            <w:color w:val="0000FF"/>
          </w:rPr>
          <w:t>4</w:t>
        </w:r>
      </w:hyperlink>
      <w:r>
        <w:t xml:space="preserve"> и </w:t>
      </w:r>
      <w:hyperlink w:anchor="P451" w:history="1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lastRenderedPageBreak/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449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450" w:history="1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1) эксплуатационного контроля;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государственного контроля (надзора).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jc w:val="center"/>
        <w:outlineLvl w:val="0"/>
      </w:pPr>
      <w:r>
        <w:t>Глава 7. ЗАКЛЮЧИТЕЛЬНЫЕ ПОЛОЖЕНИЯ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42. Заключительные положения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lastRenderedPageBreak/>
        <w:t>1) к зданиям и сооружениям, введенным в эксплуатацию до вступления в силу таких требований;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>3. Правительство Российской Федерации не позднее чем за тридцать дней до дня вступления 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19" w:history="1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31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13" w:history="1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bookmarkStart w:id="28" w:name="P486"/>
      <w:bookmarkEnd w:id="28"/>
      <w:r>
        <w:t>Статья 43. О внесении изменения в Федеральный закон "О техническом регулировании"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Title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486" w:history="1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3B7780" w:rsidRDefault="003B7780">
      <w:pPr>
        <w:pStyle w:val="ConsPlusNormal"/>
        <w:spacing w:before="220"/>
        <w:ind w:firstLine="540"/>
        <w:jc w:val="both"/>
      </w:pPr>
      <w:r>
        <w:t xml:space="preserve">2. </w:t>
      </w:r>
      <w:hyperlink w:anchor="P486" w:history="1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3B7780" w:rsidRDefault="003B7780">
      <w:pPr>
        <w:pStyle w:val="ConsPlusNormal"/>
        <w:ind w:firstLine="540"/>
        <w:jc w:val="both"/>
      </w:pPr>
    </w:p>
    <w:p w:rsidR="003B7780" w:rsidRDefault="003B7780">
      <w:pPr>
        <w:pStyle w:val="ConsPlusNormal"/>
        <w:jc w:val="right"/>
      </w:pPr>
      <w:r>
        <w:t>Президент</w:t>
      </w:r>
    </w:p>
    <w:p w:rsidR="003B7780" w:rsidRDefault="003B7780">
      <w:pPr>
        <w:pStyle w:val="ConsPlusNormal"/>
        <w:jc w:val="right"/>
      </w:pPr>
      <w:r>
        <w:t>Российской Федерации</w:t>
      </w:r>
    </w:p>
    <w:p w:rsidR="003B7780" w:rsidRDefault="003B7780">
      <w:pPr>
        <w:pStyle w:val="ConsPlusNormal"/>
        <w:jc w:val="right"/>
      </w:pPr>
      <w:r>
        <w:t>Д.МЕДВЕДЕВ</w:t>
      </w:r>
    </w:p>
    <w:p w:rsidR="003B7780" w:rsidRDefault="003B7780">
      <w:pPr>
        <w:pStyle w:val="ConsPlusNormal"/>
      </w:pPr>
      <w:r>
        <w:lastRenderedPageBreak/>
        <w:t>Москва, Кремль</w:t>
      </w:r>
    </w:p>
    <w:p w:rsidR="003B7780" w:rsidRDefault="003B7780">
      <w:pPr>
        <w:pStyle w:val="ConsPlusNormal"/>
        <w:spacing w:before="220"/>
      </w:pPr>
      <w:r>
        <w:t>30 декабря 2009 года</w:t>
      </w:r>
    </w:p>
    <w:p w:rsidR="003B7780" w:rsidRDefault="003B7780">
      <w:pPr>
        <w:pStyle w:val="ConsPlusNormal"/>
        <w:spacing w:before="220"/>
      </w:pPr>
      <w:r>
        <w:t>N 384-ФЗ</w:t>
      </w:r>
    </w:p>
    <w:p w:rsidR="003B7780" w:rsidRDefault="003B7780">
      <w:pPr>
        <w:pStyle w:val="ConsPlusNormal"/>
      </w:pPr>
    </w:p>
    <w:p w:rsidR="003B7780" w:rsidRDefault="003B7780">
      <w:pPr>
        <w:pStyle w:val="ConsPlusNormal"/>
      </w:pPr>
    </w:p>
    <w:p w:rsidR="003B7780" w:rsidRDefault="003B77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66FB" w:rsidRDefault="008466FB"/>
    <w:sectPr w:rsidR="008466FB" w:rsidSect="00C5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compat/>
  <w:rsids>
    <w:rsidRoot w:val="003B7780"/>
    <w:rsid w:val="003B7780"/>
    <w:rsid w:val="0084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7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7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77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950DE39C3B48C6AACA86FE18E267F1A7F232D481E41AAF2FF165526514277A0EBA38DDD46AE6824DA7A2175DE28BB379AA35FDD3BB8AXEZ4I" TargetMode="External"/><Relationship Id="rId13" Type="http://schemas.openxmlformats.org/officeDocument/2006/relationships/hyperlink" Target="consultantplus://offline/ref=B1950DE39C3B48C6AACA86FE18E267F1ACF338DD88EE47A527A86950621B786D09F334DCD46AE68145F8A7024CBA86B460B433E5CFB988E4X3Z2I" TargetMode="External"/><Relationship Id="rId18" Type="http://schemas.openxmlformats.org/officeDocument/2006/relationships/hyperlink" Target="consultantplus://offline/ref=B1950DE39C3B48C6AACA86FE18E267F1AAF13AD586EA47A527A86950621B786D09F334DCD46AE68047F8A7024CBA86B460B433E5CFB988E4X3Z2I" TargetMode="External"/><Relationship Id="rId26" Type="http://schemas.openxmlformats.org/officeDocument/2006/relationships/hyperlink" Target="consultantplus://offline/ref=B1950DE39C3B48C6AACA86FE18E267F1ADF933D984EA47A527A86950621B786D09F334DCD46BEE824EF8A7024CBA86B460B433E5CFB988E4X3Z2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950DE39C3B48C6AACA86FE18E267F1AAF139D888EF47A527A86950621B786D09F334DCD46AE68446F8A7024CBA86B460B433E5CFB988E4X3Z2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1950DE39C3B48C6AACA86FE18E267F1AAF03FD489EA47A527A86950621B786D09F334DCD46AE68047F8A7024CBA86B460B433E5CFB988E4X3Z2I" TargetMode="External"/><Relationship Id="rId12" Type="http://schemas.openxmlformats.org/officeDocument/2006/relationships/hyperlink" Target="consultantplus://offline/ref=B1950DE39C3B48C6AACA86FE18E267F1AAF03DDE87E747A527A86950621B786D09F334DCD763EDD517B7A65E08E895B461B431E3D3XBZ9I" TargetMode="External"/><Relationship Id="rId17" Type="http://schemas.openxmlformats.org/officeDocument/2006/relationships/hyperlink" Target="consultantplus://offline/ref=B1950DE39C3B48C6AACA86FE18E267F1ADF939DB89E947A527A86950621B786D09F334DCD46AE68044F8A7024CBA86B460B433E5CFB988E4X3Z2I" TargetMode="External"/><Relationship Id="rId25" Type="http://schemas.openxmlformats.org/officeDocument/2006/relationships/hyperlink" Target="consultantplus://offline/ref=B1950DE39C3B48C6AACA86FE18E267F1AAF039DC88E647A527A86950621B786D09F334DCD46FE38141F8A7024CBA86B460B433E5CFB988E4X3Z2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950DE39C3B48C6AACA86FE18E267F1ADF933DD81E647A527A86950621B786D09F334DCD46AE68440F8A7024CBA86B460B433E5CFB988E4X3Z2I" TargetMode="External"/><Relationship Id="rId20" Type="http://schemas.openxmlformats.org/officeDocument/2006/relationships/hyperlink" Target="consultantplus://offline/ref=B1950DE39C3B48C6AACA86FE18E267F1AAF039DC88E647A527A86950621B786D09F334DCD46FE38141F8A7024CBA86B460B433E5CFB988E4X3Z2I" TargetMode="External"/><Relationship Id="rId29" Type="http://schemas.openxmlformats.org/officeDocument/2006/relationships/hyperlink" Target="consultantplus://offline/ref=B1950DE39C3B48C6AACA86FE18E267F1AAF03DDE87E747A527A86950621B786D09F334DCD46AEE8744F8A7024CBA86B460B433E5CFB988E4X3Z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950DE39C3B48C6AACA86FE18E267F1AAF03DDE87E747A527A86950621B786D09F334DCD46AE6814EF8A7024CBA86B460B433E5CFB988E4X3Z2I" TargetMode="External"/><Relationship Id="rId11" Type="http://schemas.openxmlformats.org/officeDocument/2006/relationships/hyperlink" Target="consultantplus://offline/ref=B1950DE39C3B48C6AACA86FE18E267F1AAF03FD489EA47A527A86950621B786D1BF36CD0D46DF88140EDF1530AXEZDI" TargetMode="External"/><Relationship Id="rId24" Type="http://schemas.openxmlformats.org/officeDocument/2006/relationships/hyperlink" Target="consultantplus://offline/ref=B1950DE39C3B48C6AACA86FE18E267F1ADF63ED482E647A527A86950621B786D09F334DCD16FE68343F8A7024CBA86B460B433E5CFB988E4X3Z2I" TargetMode="External"/><Relationship Id="rId32" Type="http://schemas.openxmlformats.org/officeDocument/2006/relationships/hyperlink" Target="consultantplus://offline/ref=B1950DE39C3B48C6AACA86FE18E267F1A7F53BDE83E41AAF2FF165526514277A0EBA38DDD46AE6894DA7A2175DE28BB379AA35FDD3BB8AXEZ4I" TargetMode="External"/><Relationship Id="rId5" Type="http://schemas.openxmlformats.org/officeDocument/2006/relationships/hyperlink" Target="consultantplus://offline/ref=B1950DE39C3B48C6AACA86FE18E267F1ADF933DD81E647A527A86950621B786D09F334DCD46AE6804EF8A7024CBA86B460B433E5CFB988E4X3Z2I" TargetMode="External"/><Relationship Id="rId15" Type="http://schemas.openxmlformats.org/officeDocument/2006/relationships/hyperlink" Target="consultantplus://offline/ref=B1950DE39C3B48C6AACA86FE18E267F1ADF832D982EF47A527A86950621B786D09F334DCDC61B2D002A6FE530FF18BB279A833E1XDZ3I" TargetMode="External"/><Relationship Id="rId23" Type="http://schemas.openxmlformats.org/officeDocument/2006/relationships/hyperlink" Target="consultantplus://offline/ref=B1950DE39C3B48C6AACA86FE18E267F1ADF63ED482E647A527A86950621B786D09F334DCD16CEF8144F8A7024CBA86B460B433E5CFB988E4X3Z2I" TargetMode="External"/><Relationship Id="rId28" Type="http://schemas.openxmlformats.org/officeDocument/2006/relationships/hyperlink" Target="consultantplus://offline/ref=B1950DE39C3B48C6AACA86FE18E267F1ADF933DD81E647A527A86950621B786D09F334DCD46AE68440F8A7024CBA86B460B433E5CFB988E4X3Z2I" TargetMode="External"/><Relationship Id="rId10" Type="http://schemas.openxmlformats.org/officeDocument/2006/relationships/hyperlink" Target="consultantplus://offline/ref=B1950DE39C3B48C6AACA86FE18E267F1AFF132D582ED47A527A86950621B786D09F334DCD46AE68142F8A7024CBA86B460B433E5CFB988E4X3Z2I" TargetMode="External"/><Relationship Id="rId19" Type="http://schemas.openxmlformats.org/officeDocument/2006/relationships/hyperlink" Target="consultantplus://offline/ref=B1950DE39C3B48C6AACA86FE18E267F1ADF63ED482E647A527A86950621B786D09F334DCD16FE6814FF8A7024CBA86B460B433E5CFB988E4X3Z2I" TargetMode="External"/><Relationship Id="rId31" Type="http://schemas.openxmlformats.org/officeDocument/2006/relationships/hyperlink" Target="consultantplus://offline/ref=B1950DE39C3B48C6AACA86FE18E267F1ADF939DB89E947A527A86950621B786D09F334DCD46AE68044F8A7024CBA86B460B433E5CFB988E4X3Z2I" TargetMode="External"/><Relationship Id="rId4" Type="http://schemas.openxmlformats.org/officeDocument/2006/relationships/hyperlink" Target="consultantplus://offline/ref=B1950DE39C3B48C6AACA86FE18E267F1ADF933D984EA47A527A86950621B786D09F334DCD46BEE824EF8A7024CBA86B460B433E5CFB988E4X3Z2I" TargetMode="External"/><Relationship Id="rId9" Type="http://schemas.openxmlformats.org/officeDocument/2006/relationships/hyperlink" Target="consultantplus://offline/ref=B1950DE39C3B48C6AACA86FE18E267F1ADF93CDF80EF47A527A86950621B786D09F334DCD46AE78440F8A7024CBA86B460B433E5CFB988E4X3Z2I" TargetMode="External"/><Relationship Id="rId14" Type="http://schemas.openxmlformats.org/officeDocument/2006/relationships/hyperlink" Target="consultantplus://offline/ref=B1950DE39C3B48C6AACA86FE18E267F1ADF93EDF88EF47A527A86950621B786D09F334DCD46AE68045F8A7024CBA86B460B433E5CFB988E4X3Z2I" TargetMode="External"/><Relationship Id="rId22" Type="http://schemas.openxmlformats.org/officeDocument/2006/relationships/hyperlink" Target="consultantplus://offline/ref=B1950DE39C3B48C6AACA86FE18E267F1AAF038DC83E847A527A86950621B786D09F334DCD46AE68045F8A7024CBA86B460B433E5CFB988E4X3Z2I" TargetMode="External"/><Relationship Id="rId27" Type="http://schemas.openxmlformats.org/officeDocument/2006/relationships/hyperlink" Target="consultantplus://offline/ref=B1950DE39C3B48C6AACA86FE18E267F1ADF93CDC81EC47A527A86950621B786D09F334DCD46AE78547F8A7024CBA86B460B433E5CFB988E4X3Z2I" TargetMode="External"/><Relationship Id="rId30" Type="http://schemas.openxmlformats.org/officeDocument/2006/relationships/hyperlink" Target="consultantplus://offline/ref=B1950DE39C3B48C6AACA86FE18E267F1ADF93CDC81EC47A527A86950621B786D09F334DCD46AE78547F8A7024CBA86B460B433E5CFB988E4X3Z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12694</Words>
  <Characters>72359</Characters>
  <Application>Microsoft Office Word</Application>
  <DocSecurity>0</DocSecurity>
  <Lines>602</Lines>
  <Paragraphs>169</Paragraphs>
  <ScaleCrop>false</ScaleCrop>
  <Company/>
  <LinksUpToDate>false</LinksUpToDate>
  <CharactersWithSpaces>84884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2022-06-07T08:25:00Z</dcterms:created>
  <dcterms:modified xsi:type="dcterms:W3CDTF">2022-06-07T08:25:00Z</dcterms:modified>
</cp:coreProperties>
</file>