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1B" w:rsidRPr="001F361B" w:rsidRDefault="001F361B" w:rsidP="001F361B">
      <w:pPr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-7620</wp:posOffset>
            </wp:positionV>
            <wp:extent cx="720090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1B" w:rsidRPr="001F361B" w:rsidRDefault="001F361B" w:rsidP="001F36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F361B" w:rsidRPr="001F361B" w:rsidRDefault="001F361B" w:rsidP="001F361B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1F361B" w:rsidRPr="001F361B" w:rsidRDefault="001F361B" w:rsidP="001F3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361B" w:rsidRPr="001F361B" w:rsidRDefault="001F361B" w:rsidP="001F36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F361B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</w:p>
    <w:p w:rsidR="001F361B" w:rsidRPr="001F361B" w:rsidRDefault="001F361B" w:rsidP="001F361B">
      <w:pPr>
        <w:spacing w:after="0" w:line="240" w:lineRule="auto"/>
        <w:rPr>
          <w:rFonts w:ascii="Arial" w:eastAsia="Times New Roman" w:hAnsi="Arial" w:cs="Times New Roman"/>
          <w:noProof/>
          <w:sz w:val="30"/>
          <w:szCs w:val="20"/>
        </w:rPr>
      </w:pPr>
    </w:p>
    <w:p w:rsidR="001F361B" w:rsidRPr="001F361B" w:rsidRDefault="001F361B" w:rsidP="001F36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6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F361B" w:rsidRPr="001F361B" w:rsidTr="001F361B">
        <w:trPr>
          <w:trHeight w:hRule="exact" w:val="397"/>
        </w:trPr>
        <w:tc>
          <w:tcPr>
            <w:tcW w:w="9606" w:type="dxa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61B" w:rsidRPr="001F361B" w:rsidTr="001F361B">
        <w:tc>
          <w:tcPr>
            <w:tcW w:w="9606" w:type="dxa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361B" w:rsidRPr="001F361B" w:rsidTr="001F361B">
        <w:trPr>
          <w:trHeight w:hRule="exact" w:val="896"/>
        </w:trPr>
        <w:tc>
          <w:tcPr>
            <w:tcW w:w="9606" w:type="dxa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F361B" w:rsidRPr="001F361B" w:rsidTr="001F361B">
        <w:tc>
          <w:tcPr>
            <w:tcW w:w="9606" w:type="dxa"/>
          </w:tcPr>
          <w:p w:rsidR="001F361B" w:rsidRPr="001F361B" w:rsidRDefault="001F361B" w:rsidP="001F361B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1F361B" w:rsidRPr="001F361B" w:rsidTr="001F361B">
        <w:trPr>
          <w:trHeight w:hRule="exact" w:val="524"/>
        </w:trPr>
        <w:tc>
          <w:tcPr>
            <w:tcW w:w="9606" w:type="dxa"/>
            <w:vAlign w:val="center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F361B" w:rsidRPr="001F361B" w:rsidTr="001F361B">
        <w:tc>
          <w:tcPr>
            <w:tcW w:w="284" w:type="dxa"/>
            <w:vAlign w:val="bottom"/>
          </w:tcPr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 2020 г</w:t>
            </w:r>
          </w:p>
        </w:tc>
        <w:tc>
          <w:tcPr>
            <w:tcW w:w="397" w:type="dxa"/>
            <w:vAlign w:val="bottom"/>
          </w:tcPr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F361B" w:rsidRPr="001F361B" w:rsidTr="001F361B">
        <w:trPr>
          <w:trHeight w:val="422"/>
        </w:trPr>
        <w:tc>
          <w:tcPr>
            <w:tcW w:w="4650" w:type="dxa"/>
            <w:gridSpan w:val="4"/>
          </w:tcPr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Сканово </w:t>
            </w:r>
          </w:p>
        </w:tc>
      </w:tr>
    </w:tbl>
    <w:p w:rsidR="001F361B" w:rsidRP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F361B" w:rsidRPr="001F361B" w:rsidTr="001F361B">
        <w:trPr>
          <w:trHeight w:hRule="exact" w:val="397"/>
        </w:trPr>
        <w:tc>
          <w:tcPr>
            <w:tcW w:w="9606" w:type="dxa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61B" w:rsidRPr="001F361B" w:rsidTr="001F361B">
        <w:tc>
          <w:tcPr>
            <w:tcW w:w="9606" w:type="dxa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F361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 СЕЛЬСОВЕТА</w:t>
            </w:r>
          </w:p>
        </w:tc>
      </w:tr>
      <w:tr w:rsidR="001F361B" w:rsidRPr="001F361B" w:rsidTr="001F361B">
        <w:trPr>
          <w:trHeight w:hRule="exact" w:val="896"/>
        </w:trPr>
        <w:tc>
          <w:tcPr>
            <w:tcW w:w="9606" w:type="dxa"/>
          </w:tcPr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1F361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1F361B" w:rsidRPr="001F361B" w:rsidTr="001F361B">
        <w:tc>
          <w:tcPr>
            <w:tcW w:w="9606" w:type="dxa"/>
          </w:tcPr>
          <w:p w:rsidR="001F361B" w:rsidRPr="001F361B" w:rsidRDefault="001F361B" w:rsidP="001F361B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1F361B" w:rsidRPr="001F361B" w:rsidTr="001F361B">
        <w:trPr>
          <w:trHeight w:hRule="exact" w:val="524"/>
        </w:trPr>
        <w:tc>
          <w:tcPr>
            <w:tcW w:w="9606" w:type="dxa"/>
            <w:vAlign w:val="center"/>
          </w:tcPr>
          <w:p w:rsidR="001F361B" w:rsidRPr="001F361B" w:rsidRDefault="001F361B" w:rsidP="001F361B">
            <w:pPr>
              <w:keepNext/>
              <w:framePr w:wrap="around" w:vAnchor="page" w:hAnchor="page" w:x="1449" w:y="23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36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1B" w:rsidRPr="001F361B" w:rsidRDefault="001F361B" w:rsidP="001F361B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61B" w:rsidRPr="001F361B" w:rsidRDefault="001F361B" w:rsidP="001F361B">
      <w:pPr>
        <w:suppressAutoHyphens/>
        <w:spacing w:after="0" w:line="240" w:lineRule="auto"/>
        <w:rPr>
          <w:rFonts w:ascii="Times New Roman" w:eastAsia="Calibri" w:hAnsi="Times New Roman" w:cs="Times New Roman"/>
          <w:vanish/>
          <w:color w:val="00000A"/>
          <w:lang w:eastAsia="ar-SA"/>
        </w:rPr>
      </w:pPr>
    </w:p>
    <w:p w:rsidR="007B74D1" w:rsidRPr="007B74D1" w:rsidRDefault="007B74D1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44492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 w:rsidRPr="0044492C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от 01.11.2019 № 48 «О разработке и утверждении административных регламентов предоставления муниципальных услуг администрацией </w:t>
      </w:r>
      <w:r w:rsidR="0044492C" w:rsidRPr="0044492C">
        <w:rPr>
          <w:rFonts w:ascii="Times New Roman" w:eastAsia="Calibri" w:hAnsi="Times New Roman" w:cs="Calibri"/>
          <w:bCs/>
          <w:color w:val="00000A"/>
          <w:sz w:val="28"/>
          <w:szCs w:val="28"/>
          <w:lang w:eastAsia="ar-SA"/>
        </w:rPr>
        <w:t>Скановского сельсовета Наровчатского района Пензенской области</w:t>
      </w:r>
      <w:r w:rsidR="0044492C" w:rsidRPr="0044492C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»,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492C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7B74D1" w:rsidRPr="007B74D1" w:rsidRDefault="001F361B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1F361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F361B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="007B74D1" w:rsidRPr="001F361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7B74D1" w:rsidRDefault="0044492C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2D2B8C" w:rsidRDefault="002D2B8C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B74D1" w:rsidRDefault="002D2B8C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F361B">
        <w:rPr>
          <w:rFonts w:ascii="Times New Roman" w:eastAsia="Times New Roman" w:hAnsi="Times New Roman" w:cs="Times New Roman"/>
          <w:sz w:val="28"/>
          <w:szCs w:val="28"/>
        </w:rPr>
        <w:t xml:space="preserve">                   М.И.Мальков</w:t>
      </w: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1B" w:rsidRPr="007B74D1" w:rsidRDefault="001F361B" w:rsidP="001F3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7B74D1" w:rsidRPr="007B74D1" w:rsidRDefault="0044492C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2D2B8C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61B">
        <w:rPr>
          <w:rFonts w:ascii="Times New Roman" w:eastAsia="Times New Roman" w:hAnsi="Times New Roman" w:cs="Times New Roman"/>
          <w:sz w:val="28"/>
          <w:szCs w:val="28"/>
          <w:u w:val="single"/>
        </w:rPr>
        <w:t>26 июня 2020 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61B">
        <w:rPr>
          <w:rFonts w:ascii="Times New Roman" w:eastAsia="Times New Roman" w:hAnsi="Times New Roman" w:cs="Times New Roman"/>
          <w:sz w:val="28"/>
          <w:szCs w:val="28"/>
          <w:u w:val="single"/>
        </w:rPr>
        <w:t>35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УЧАСТКОВ,</w:t>
      </w:r>
      <w:r w:rsidR="00FB1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b/>
          <w:bCs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(внесудебный)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(бюджетные,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казенные,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автономные);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предприятия;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прекративших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наделов;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благотворительного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44-ФЗ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гражданско-правовые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реконструкцию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специальностям,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помещением;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пчеловодства)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охотхозяйственного,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предусматривающего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D9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относящимся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коренным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малочисленным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народам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Севера,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Сибири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Дальнего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общинам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хозяйствования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промыслов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коренных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малочисленных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Севера,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Сибири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Дальнего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275-ФЗ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заказе",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Дальневосточного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делопроизводства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регламентирующих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продолжительное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(www.gosuslugi.ru)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(https://gosuslugi.pnzreg.ru)»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 (далее - МФЦ):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РПГУ.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пошлины,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(уведомлений,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сообщений),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36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F361B" w:rsidRPr="001F361B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1F361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(пребывания)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5242-1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свободу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передвижения,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пребывания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пользования земельным участком;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(возвращение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продажа: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(фермерскому)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24.07.2002 № 101-ФЗ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Дальневосточного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социально-культурного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социально-культурного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коммунально-бытового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принявшим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застройщика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пострадавших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214-ФЗ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долевом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(создания)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блокированной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застройки,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состоящих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блоков,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электро-,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тепло-,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газо-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водоснабжения,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водоотведения,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нефтепроводов,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множественностью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стороне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однократно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землепользователям,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(фермерскому)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24.07.2002 № 101-ФЗ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коммунальной,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46.9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Градостроительног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первоочередное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внеочередное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зарезервирован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сенокошения,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выпаса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недрами,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недропользователю;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управляющей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концессионным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государственно-частном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партнерстве,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партнерстве,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23.2)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охотничьего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охотхозяйственное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водохранилищ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гидротехнических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"Российские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автомобильные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придорожных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акционерного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"Российские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железные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железнодорожного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декларацией;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обладающему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добычу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(вылов)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биологических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рыболовным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биологическими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веществ,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хранилищ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отходов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отходов,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страненных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536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t>2.6.3.1.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перераспределение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Минэкономразвития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12.01.2015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каналам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запрашивает: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сделок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A76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го административного 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КС3,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КС3,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интерактивной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форматно-логическая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некорректно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«Единая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аутентификации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ЕСИА),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ЕСИА;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потери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введенной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сформированных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месяцев.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действительности.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пожизненного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наследуемого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огородным)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завершено),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55.32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завершено),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зарезервированным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резервировании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резервирования;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продаже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разрешенное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линейного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разрешенного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аварийным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реконструкции;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13 июля 2015 №218-ФЗ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схеме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межевания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209-ФЗ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взимания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2.10.1.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режиме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пешеходной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«Гигиенические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машинам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2.2.2/2.4.1340-03».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собак-проводников).</w:t>
      </w:r>
    </w:p>
    <w:p w:rsidR="00040D91" w:rsidRDefault="007B74D1" w:rsidP="00040D91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91DD9">
        <w:rPr>
          <w:rFonts w:ascii="Times New Roman" w:hAnsi="Times New Roman"/>
          <w:sz w:val="28"/>
          <w:szCs w:val="28"/>
        </w:rPr>
        <w:t>Помещения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для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предоставления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муниципальной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услуги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размещаются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на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нижних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этажах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зданий,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оборудованных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отдельным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входом,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или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в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отдельно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стоящих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зданиях.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="00040D91" w:rsidRPr="00491DD9">
        <w:rPr>
          <w:rFonts w:ascii="Times New Roman" w:hAnsi="Times New Roman"/>
          <w:position w:val="-2"/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</w:t>
      </w:r>
      <w:r w:rsidR="00040D91" w:rsidRPr="00491DD9">
        <w:rPr>
          <w:rFonts w:ascii="Times New Roman" w:hAnsi="Times New Roman"/>
          <w:position w:val="-2"/>
          <w:sz w:val="28"/>
          <w:szCs w:val="28"/>
        </w:rPr>
        <w:lastRenderedPageBreak/>
        <w:t>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тифлосурдопереводчика.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(бейджами)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учитывающие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окна",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2.7,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D91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подписи"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2.14.11.При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пошлины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уплата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А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объясняет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предлагает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экземпляре,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форматно-логический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присвоенного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уникального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«принято».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структурное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подразделение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(сотрудника),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одновременным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доставку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накладывает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резолюцию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резолюцией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первичную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каналам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сделок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(пяти)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(шесть)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(недостаточностью)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3.5.2.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(пять)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готовит: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(десять)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(два)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3.6.4.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92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прохождением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неявки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непригодными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(пригодными)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касающиеся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Заинтересованные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(граждане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вносимых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муниципальную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>, МФЦ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>, муниципальных служащих, работников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исправлений.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Администрацию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публично-правового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«Интернет»:</w:t>
      </w:r>
      <w:r w:rsidR="00FE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FE2F79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FE2F79" w:rsidRPr="00FE2F79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E2F79" w:rsidRPr="00FE2F79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skanovo.narovchat.pnzreg.ru/bitrix/</w:t>
      </w:r>
      <w:r w:rsidR="00FE2F79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(процедура)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применяются.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содержать: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(номера)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(адреса)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доводы,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доводы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инстанции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удовлетворяется,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отказывается.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незамедлительного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неудобства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дальнейших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совершить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аргументированные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59-ФЗ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Федерации».</w:t>
      </w:r>
    </w:p>
    <w:p w:rsid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Pr="007B74D1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(юр.лица)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Pr="007B74D1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(юр.лица)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79" w:rsidRPr="007B74D1" w:rsidRDefault="00FE2F79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40D91" w:rsidSect="00040D9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40D91" w:rsidRPr="00040D91" w:rsidRDefault="00040D91" w:rsidP="00040D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sz w:val="28"/>
          <w:szCs w:val="28"/>
        </w:rPr>
        <w:lastRenderedPageBreak/>
        <w:t xml:space="preserve"> </w:t>
      </w:r>
      <w:r w:rsidRPr="00040D91"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заявлению</w:t>
      </w:r>
    </w:p>
    <w:p w:rsidR="00040D91" w:rsidRPr="00040D91" w:rsidRDefault="00040D91" w:rsidP="00040D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40D91" w:rsidRPr="00040D91" w:rsidRDefault="00040D91" w:rsidP="00040D9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ДОКУМЕНТА,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ПОДТВЕРЖДАЮЩЕГО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СОГЛАСИЕ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СУБЪЕКТОВ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УКАЗАННЫХ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ЗАЯВЛЕНИИ,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НА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ОБРАБОТКУ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ЭТИХ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ЛИЦ</w:t>
      </w:r>
    </w:p>
    <w:p w:rsidR="00040D91" w:rsidRPr="00040D91" w:rsidRDefault="00040D91" w:rsidP="00040D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2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13459"/>
        <w:gridCol w:w="4602"/>
      </w:tblGrid>
      <w:tr w:rsidR="00040D91" w:rsidRPr="00040D91" w:rsidTr="00040D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Номер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основного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удостоверяющего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личность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выдачи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выдавший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Реквизиты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доверенности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подтверждающего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полномочия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получении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фамилию,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осуществляющего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такому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данными,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совершение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описание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используемых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Срок,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течение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действует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также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отзыва,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установлено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Настоящим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выражаю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моих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предусмотренную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частью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статьи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"О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данных",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целях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Администрацией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согласен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(на),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что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мною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являются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необходимыми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указанной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будут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подвергнуты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предусмотренной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152-ФЗ.</w:t>
            </w:r>
          </w:p>
        </w:tc>
      </w:tr>
      <w:tr w:rsidR="00040D91" w:rsidRPr="00040D91" w:rsidTr="00040D91">
        <w:tc>
          <w:tcPr>
            <w:tcW w:w="2531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Подпись</w:t>
            </w:r>
          </w:p>
        </w:tc>
        <w:tc>
          <w:tcPr>
            <w:tcW w:w="13166" w:type="dxa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556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</w:tr>
    </w:tbl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>
      <w:pPr>
        <w:rPr>
          <w:rFonts w:ascii="Times New Roman" w:hAnsi="Times New Roman" w:cs="Times New Roman"/>
          <w:sz w:val="28"/>
          <w:szCs w:val="28"/>
        </w:rPr>
      </w:pPr>
    </w:p>
    <w:sectPr w:rsidR="007B74D1" w:rsidRPr="007B74D1" w:rsidSect="00040D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74D1"/>
    <w:rsid w:val="00040D91"/>
    <w:rsid w:val="001F361B"/>
    <w:rsid w:val="002170E6"/>
    <w:rsid w:val="002270CA"/>
    <w:rsid w:val="002D2B8C"/>
    <w:rsid w:val="00313AC7"/>
    <w:rsid w:val="0033612D"/>
    <w:rsid w:val="0044492C"/>
    <w:rsid w:val="004737DD"/>
    <w:rsid w:val="00491DD9"/>
    <w:rsid w:val="004C0A76"/>
    <w:rsid w:val="00535C67"/>
    <w:rsid w:val="006759F3"/>
    <w:rsid w:val="006C518A"/>
    <w:rsid w:val="007B74D1"/>
    <w:rsid w:val="00AE421B"/>
    <w:rsid w:val="00C77D7D"/>
    <w:rsid w:val="00FB12C3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F3"/>
  </w:style>
  <w:style w:type="paragraph" w:styleId="2">
    <w:name w:val="heading 2"/>
    <w:basedOn w:val="a"/>
    <w:link w:val="20"/>
    <w:uiPriority w:val="9"/>
    <w:qFormat/>
    <w:rsid w:val="00040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B74D1"/>
  </w:style>
  <w:style w:type="paragraph" w:customStyle="1" w:styleId="ConsPlusNormal">
    <w:name w:val="ConsPlusNormal"/>
    <w:link w:val="ConsPlusNormal0"/>
    <w:uiPriority w:val="99"/>
    <w:qFormat/>
    <w:rsid w:val="00040D9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40D91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40D9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53</Pages>
  <Words>18660</Words>
  <Characters>106365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Usero</cp:lastModifiedBy>
  <cp:revision>9</cp:revision>
  <cp:lastPrinted>2020-06-18T09:00:00Z</cp:lastPrinted>
  <dcterms:created xsi:type="dcterms:W3CDTF">2020-06-18T06:24:00Z</dcterms:created>
  <dcterms:modified xsi:type="dcterms:W3CDTF">2020-06-30T09:00:00Z</dcterms:modified>
</cp:coreProperties>
</file>