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946" w:rsidRPr="00B91946" w:rsidRDefault="00B91946" w:rsidP="00B91946">
      <w:pPr>
        <w:shd w:val="clear" w:color="auto" w:fill="FFFFFF"/>
        <w:spacing w:before="161" w:after="161" w:line="240" w:lineRule="auto"/>
        <w:ind w:left="375"/>
        <w:outlineLvl w:val="0"/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</w:pPr>
      <w:r w:rsidRPr="00B91946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  <w:lang w:eastAsia="ru-RU"/>
        </w:rPr>
        <w:t>Постановление Правительства РФ от 10 августа 2005 г. N 502 "Об утверждении формы уведомления о переводе (отказе в переводе) жилого (нежилого) помещения в нежилое (жилое) помещение"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bookmarkStart w:id="0" w:name="text"/>
      <w:bookmarkEnd w:id="0"/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На основании </w:t>
      </w:r>
      <w:hyperlink r:id="rId5" w:anchor="block_23" w:history="1">
        <w:r w:rsidRPr="00B9194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статьи 23</w:t>
        </w:r>
      </w:hyperlink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Жилищного кодекса Российской Федерации Правительство Российской Федерации постановляет: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Утвердить прилагаемую </w:t>
      </w:r>
      <w:hyperlink r:id="rId6" w:anchor="block_1000" w:history="1">
        <w:r w:rsidRPr="00B9194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форму</w:t>
        </w:r>
      </w:hyperlink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уведомления о переводе (отказе в переводе) жилого (нежилого) помещения в нежилое (жилое) помещение.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Председатель Правительства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B91946" w:rsidRPr="00B91946" w:rsidTr="00B91946">
        <w:tc>
          <w:tcPr>
            <w:tcW w:w="3300" w:type="pct"/>
            <w:shd w:val="clear" w:color="auto" w:fill="FFFFFF"/>
            <w:vAlign w:val="bottom"/>
            <w:hideMark/>
          </w:tcPr>
          <w:p w:rsidR="00B91946" w:rsidRPr="00B91946" w:rsidRDefault="00B91946" w:rsidP="00B91946">
            <w:pPr>
              <w:spacing w:before="75" w:after="75" w:line="240" w:lineRule="auto"/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B91946" w:rsidRPr="00B91946" w:rsidRDefault="00B91946" w:rsidP="00B91946">
            <w:pPr>
              <w:spacing w:before="75" w:after="75" w:line="240" w:lineRule="auto"/>
              <w:ind w:left="75" w:right="75"/>
              <w:jc w:val="right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B91946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М. Фрадков</w:t>
            </w:r>
          </w:p>
        </w:tc>
      </w:tr>
    </w:tbl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Москва</w:t>
      </w:r>
    </w:p>
    <w:p w:rsidR="00B91946" w:rsidRPr="00B91946" w:rsidRDefault="00B91946" w:rsidP="00B919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10 августа 2005 г.</w:t>
      </w:r>
    </w:p>
    <w:p w:rsidR="00B91946" w:rsidRPr="00B91946" w:rsidRDefault="00B91946" w:rsidP="00B9194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N 502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0E9D3"/>
        <w:spacing w:after="0"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См. данную </w:t>
      </w:r>
      <w:hyperlink r:id="rId7" w:history="1">
        <w:r w:rsidRPr="00B9194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форму</w:t>
        </w:r>
      </w:hyperlink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 редакторе MS-</w:t>
      </w:r>
      <w:proofErr w:type="spellStart"/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Word</w:t>
      </w:r>
      <w:proofErr w:type="spellEnd"/>
    </w:p>
    <w:p w:rsidR="00B91946" w:rsidRPr="00B91946" w:rsidRDefault="00B91946" w:rsidP="00B9194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Утверждена</w:t>
      </w:r>
    </w:p>
    <w:p w:rsidR="00B91946" w:rsidRPr="00B91946" w:rsidRDefault="00B91946" w:rsidP="00B9194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8" w:history="1">
        <w:r w:rsidRPr="00B91946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постановлением</w:t>
        </w:r>
      </w:hyperlink>
      <w:r w:rsidRPr="00B9194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 Правительства РФ</w:t>
      </w:r>
    </w:p>
    <w:p w:rsidR="00B91946" w:rsidRPr="00B91946" w:rsidRDefault="00B91946" w:rsidP="00B9194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B91946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от 10 августа 2005 г. N 502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 Форма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уведомления о переводе (отказе в переводе) жилого (нежилого)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помещения в нежилое (жилое) помещение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Кому 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(фамилия, имя, отчество -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для граждан;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полное наименование организации -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для юридических лиц)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Куда 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                                      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(почтовый индекс и адрес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заявителя согласно заявлению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о переводе)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____________________________________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             Уведомление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о переводе (отказе в переводе) </w:t>
      </w:r>
      <w:proofErr w:type="gramStart"/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жилого</w:t>
      </w:r>
      <w:proofErr w:type="gramEnd"/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(нежилого)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 xml:space="preserve">                  помещения в нежилое (жилое) помещение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(полное наименование органа местного самоуправления,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______________________________________________________________________,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осуществляющего перевод помещения)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рассмотрев представленные в соответствии с </w:t>
      </w:r>
      <w:hyperlink r:id="rId9" w:anchor="block_2302" w:history="1">
        <w:r w:rsidRPr="00B91946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частью 2 статьи 23</w:t>
        </w:r>
      </w:hyperlink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Жилищного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кодекса  Российской  Федерации  документы  о  переводе   помещения общей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площадью ________ кв. м,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находящегося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по адресу: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(наименование городского или сельского поселения)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(наименование улицы, площади, проспекта, бульвара, проезда и т.п.)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дом ____________, корпус    (владение, строение),     кв. ____________,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-----------------------------------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(ненужное зачеркнуть)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из жилого (нежилого) в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нежилое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(жилое)     в    целях      использования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---------------------------------------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(ненужное зачеркнуть)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помещения в качестве 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(вид использования помещения в соответствии с заявлением о переводе)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______________________________________________________________________,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РЕШИЛ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(_______________________________________________________________):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(наименование акта, дата его принятия и номер)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1. Помещение на основании приложенных к заявлению документов: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а) перевести   из   жилого   (нежилого)   в   нежилое     (жилое)   без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-----------------------------------------------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(ненужное зачеркнуть)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предварительных условий;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б) перевести  из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(нежилого)  в  нежилое  (жилое)  при   условии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проведения в установленном порядке следующих видов работ: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(перечень работ по переустройству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(перепланировке) помещения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или иных необходимых работ по ремонту, реконструкции, реставрации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помещения)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_______________________________________________________________________.</w:t>
      </w:r>
    </w:p>
    <w:p w:rsidR="00B91946" w:rsidRPr="00B91946" w:rsidRDefault="00B91946" w:rsidP="00B91946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hyperlink r:id="rId10" w:history="1">
        <w:proofErr w:type="gramStart"/>
        <w:r w:rsidRPr="00B9194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Решением</w:t>
        </w:r>
      </w:hyperlink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Верховного Суда РФ от 3 марта 2014 г. N АКПИ14-78, оставленным без изменения </w:t>
      </w:r>
      <w:hyperlink r:id="rId11" w:anchor="block_1111" w:history="1">
        <w:r w:rsidRPr="00B91946">
          <w:rPr>
            <w:rFonts w:ascii="Times New Roman" w:eastAsia="Times New Roman" w:hAnsi="Times New Roman" w:cs="Times New Roman"/>
            <w:color w:val="3272C0"/>
            <w:sz w:val="24"/>
            <w:szCs w:val="24"/>
            <w:lang w:eastAsia="ru-RU"/>
          </w:rPr>
          <w:t>Определением</w:t>
        </w:r>
      </w:hyperlink>
      <w:r w:rsidRPr="00B91946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 Апелляционной коллегии Верховного Суда РФ от 5 июня 2014 г. N АПЛ14-222, пункт 2 настоящей формы признан не противоречащим действующему законодательству в части подстрочного текста, согласно которому мотивом отказа указывается: "основание (я), установленное частью 1 статьи 24 Жилищного кодекса Российской Федерации"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2. Отказать в переводе  указанного  помещения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из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жилого   (нежилого) в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нежилое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(жилое) в связи с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(основани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е(</w:t>
      </w:r>
      <w:proofErr w:type="gramEnd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я), установленное </w:t>
      </w:r>
      <w:hyperlink r:id="rId12" w:anchor="block_2401" w:history="1">
        <w:r w:rsidRPr="00B91946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частью 1 статьи 24</w:t>
        </w:r>
      </w:hyperlink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Жилищного кодекса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Российской Федерации)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________________________________________________________________________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___________________      _________________    _________________________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</w:t>
      </w:r>
      <w:proofErr w:type="gramStart"/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(должность лица,            (подпись)          (расшифровка подписи)</w:t>
      </w:r>
      <w:proofErr w:type="gramEnd"/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подписавшего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уведомление)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  " ____________ 200   г.</w:t>
      </w:r>
    </w:p>
    <w:p w:rsidR="00B91946" w:rsidRPr="00B91946" w:rsidRDefault="00B91946" w:rsidP="00B919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B9194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B91946" w:rsidRPr="00B91946" w:rsidRDefault="00B91946" w:rsidP="00B919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B91946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М.П.</w:t>
      </w:r>
    </w:p>
    <w:p w:rsidR="008F0136" w:rsidRDefault="008F0136">
      <w:bookmarkStart w:id="1" w:name="_GoBack"/>
      <w:bookmarkEnd w:id="1"/>
    </w:p>
    <w:sectPr w:rsidR="008F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F5D"/>
    <w:rsid w:val="006C2F5D"/>
    <w:rsid w:val="008F0136"/>
    <w:rsid w:val="00B9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32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8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7507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4148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files/base/12141483/318065780.rtf" TargetMode="External"/><Relationship Id="rId12" Type="http://schemas.openxmlformats.org/officeDocument/2006/relationships/hyperlink" Target="https://base.garant.ru/12138291/7b14d2c2dfc862f67bd2c3471bf87b3f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41483/2e79f6e3869f30cfdcc5f261d43efab2/" TargetMode="External"/><Relationship Id="rId11" Type="http://schemas.openxmlformats.org/officeDocument/2006/relationships/hyperlink" Target="https://base.garant.ru/70688492/" TargetMode="External"/><Relationship Id="rId5" Type="http://schemas.openxmlformats.org/officeDocument/2006/relationships/hyperlink" Target="https://base.garant.ru/12138291/74d7c78a3a1e33cef2750a2b7b35d2ed/" TargetMode="External"/><Relationship Id="rId10" Type="http://schemas.openxmlformats.org/officeDocument/2006/relationships/hyperlink" Target="https://base.garant.ru/7062787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38291/74d7c78a3a1e33cef2750a2b7b35d2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2022-12-02T08:12:00Z</dcterms:created>
  <dcterms:modified xsi:type="dcterms:W3CDTF">2022-12-02T08:12:00Z</dcterms:modified>
</cp:coreProperties>
</file>