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3C" w:rsidRDefault="00E77B3C">
      <w:pPr>
        <w:pStyle w:val="ConsPlusTitle"/>
        <w:jc w:val="center"/>
        <w:outlineLvl w:val="0"/>
      </w:pPr>
      <w:r>
        <w:t>АДМИНИСТРАЦИЯ ГОРОДА ЗАРЕЧНОГО</w:t>
      </w:r>
    </w:p>
    <w:p w:rsidR="00E77B3C" w:rsidRDefault="00E77B3C">
      <w:pPr>
        <w:pStyle w:val="ConsPlusTitle"/>
        <w:jc w:val="center"/>
      </w:pPr>
      <w:r>
        <w:t>ПЕНЗЕНСКОЙ ОБЛАСТИ</w:t>
      </w:r>
    </w:p>
    <w:p w:rsidR="00E77B3C" w:rsidRDefault="00E77B3C">
      <w:pPr>
        <w:pStyle w:val="ConsPlusTitle"/>
        <w:jc w:val="center"/>
      </w:pPr>
    </w:p>
    <w:p w:rsidR="00E77B3C" w:rsidRDefault="00E77B3C">
      <w:pPr>
        <w:pStyle w:val="ConsPlusTitle"/>
        <w:jc w:val="center"/>
      </w:pPr>
      <w:r>
        <w:t>ПОСТАНОВЛЕНИЕ</w:t>
      </w:r>
    </w:p>
    <w:p w:rsidR="00E77B3C" w:rsidRDefault="00E77B3C">
      <w:pPr>
        <w:pStyle w:val="ConsPlusTitle"/>
        <w:jc w:val="center"/>
      </w:pPr>
      <w:r>
        <w:t>от 7 июля 2016 г. N 1605</w:t>
      </w:r>
    </w:p>
    <w:p w:rsidR="00E77B3C" w:rsidRDefault="00E77B3C">
      <w:pPr>
        <w:pStyle w:val="ConsPlusTitle"/>
        <w:jc w:val="center"/>
      </w:pPr>
    </w:p>
    <w:p w:rsidR="00E77B3C" w:rsidRDefault="00E77B3C">
      <w:pPr>
        <w:pStyle w:val="ConsPlusTitle"/>
        <w:jc w:val="center"/>
      </w:pPr>
      <w:r>
        <w:t>ОБ УТВЕРЖДЕНИИ МЕТОДИКИ РАСЧЕТА ВОССТАНОВИТЕЛЬНОЙ СТОИМОСТИ</w:t>
      </w:r>
    </w:p>
    <w:p w:rsidR="00E77B3C" w:rsidRDefault="00E77B3C">
      <w:pPr>
        <w:pStyle w:val="ConsPlusTitle"/>
        <w:jc w:val="center"/>
      </w:pPr>
      <w:r>
        <w:t>ЗЕЛЕНЫХ НАСАЖДЕНИЙ И ИСЧИСЛЕНИЕ РАЗМЕРА УЩЕРБА, ВЫЗЫВАЕМОГО</w:t>
      </w:r>
    </w:p>
    <w:p w:rsidR="00E77B3C" w:rsidRDefault="00E77B3C">
      <w:pPr>
        <w:pStyle w:val="ConsPlusTitle"/>
        <w:jc w:val="center"/>
      </w:pPr>
      <w:r>
        <w:t>ИХ ПОВРЕЖДЕНИЕМ И (ИЛИ) УНИЧТОЖЕНИЕМ, НА ТЕРРИТОРИИ</w:t>
      </w:r>
    </w:p>
    <w:p w:rsidR="00E77B3C" w:rsidRDefault="00E77B3C">
      <w:pPr>
        <w:pStyle w:val="ConsPlusTitle"/>
        <w:jc w:val="center"/>
      </w:pPr>
      <w:r>
        <w:t xml:space="preserve">Г. </w:t>
      </w:r>
      <w:proofErr w:type="gramStart"/>
      <w:r>
        <w:t>ЗАРЕЧНОГО</w:t>
      </w:r>
      <w:proofErr w:type="gramEnd"/>
      <w:r>
        <w:t xml:space="preserve"> ПЕНЗЕНСКОЙ ОБЛАСТИ</w:t>
      </w:r>
    </w:p>
    <w:p w:rsidR="00E77B3C" w:rsidRDefault="00E77B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77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7B3C" w:rsidRDefault="00E77B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7B3C" w:rsidRDefault="00E77B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7B3C" w:rsidRDefault="00E77B3C">
            <w:pPr>
              <w:pStyle w:val="ConsPlusNormal"/>
              <w:jc w:val="center"/>
            </w:pPr>
            <w:r>
              <w:rPr>
                <w:color w:val="392C69"/>
              </w:rPr>
              <w:t>Список изменяющих документов</w:t>
            </w:r>
          </w:p>
          <w:p w:rsidR="00E77B3C" w:rsidRDefault="00E77B3C">
            <w:pPr>
              <w:pStyle w:val="ConsPlusNormal"/>
              <w:jc w:val="center"/>
            </w:pPr>
            <w:proofErr w:type="gramStart"/>
            <w:r>
              <w:rPr>
                <w:color w:val="392C69"/>
              </w:rPr>
              <w:t xml:space="preserve">(в ред. Постановлений Администрации г. Заречного от 04.05.2018 </w:t>
            </w:r>
            <w:hyperlink r:id="rId4">
              <w:r>
                <w:rPr>
                  <w:color w:val="0000FF"/>
                </w:rPr>
                <w:t>N 893</w:t>
              </w:r>
            </w:hyperlink>
            <w:r>
              <w:rPr>
                <w:color w:val="392C69"/>
              </w:rPr>
              <w:t>,</w:t>
            </w:r>
            <w:proofErr w:type="gramEnd"/>
          </w:p>
          <w:p w:rsidR="00E77B3C" w:rsidRDefault="00E77B3C">
            <w:pPr>
              <w:pStyle w:val="ConsPlusNormal"/>
              <w:jc w:val="center"/>
            </w:pPr>
            <w:r>
              <w:rPr>
                <w:color w:val="392C69"/>
              </w:rPr>
              <w:t xml:space="preserve">от 06.06.2018 </w:t>
            </w:r>
            <w:hyperlink r:id="rId5">
              <w:r>
                <w:rPr>
                  <w:color w:val="0000FF"/>
                </w:rPr>
                <w:t>N 1174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7B3C" w:rsidRDefault="00E77B3C">
            <w:pPr>
              <w:pStyle w:val="ConsPlusNormal"/>
            </w:pPr>
          </w:p>
        </w:tc>
      </w:tr>
    </w:tbl>
    <w:p w:rsidR="00E77B3C" w:rsidRDefault="00E77B3C">
      <w:pPr>
        <w:pStyle w:val="ConsPlusNormal"/>
        <w:spacing w:before="280"/>
        <w:ind w:firstLine="540"/>
        <w:jc w:val="both"/>
      </w:pPr>
      <w:r>
        <w:t xml:space="preserve">В соответствии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7">
        <w:r>
          <w:rPr>
            <w:color w:val="0000FF"/>
          </w:rPr>
          <w:t>статьей 7</w:t>
        </w:r>
      </w:hyperlink>
      <w:r>
        <w:t xml:space="preserve"> Федерального закона от 10.01.2002 N 7-ФЗ "Об охране окружающей среды", </w:t>
      </w:r>
      <w:hyperlink r:id="rId8">
        <w:r>
          <w:rPr>
            <w:color w:val="0000FF"/>
          </w:rPr>
          <w:t>статьями 4.5.1</w:t>
        </w:r>
      </w:hyperlink>
      <w:r>
        <w:t xml:space="preserve">, </w:t>
      </w:r>
      <w:hyperlink r:id="rId9">
        <w:r>
          <w:rPr>
            <w:color w:val="0000FF"/>
          </w:rPr>
          <w:t>4.6.1</w:t>
        </w:r>
      </w:hyperlink>
      <w:r>
        <w:t xml:space="preserve"> Устава закрытого административно-территориального образования города Заречного, Администрация города Заречного постановляет:</w:t>
      </w:r>
    </w:p>
    <w:p w:rsidR="00E77B3C" w:rsidRDefault="00E77B3C">
      <w:pPr>
        <w:pStyle w:val="ConsPlusNormal"/>
        <w:spacing w:before="220"/>
        <w:ind w:firstLine="540"/>
        <w:jc w:val="both"/>
      </w:pPr>
      <w:r>
        <w:t xml:space="preserve">1. Утвердить </w:t>
      </w:r>
      <w:hyperlink w:anchor="P36">
        <w:r>
          <w:rPr>
            <w:color w:val="0000FF"/>
          </w:rPr>
          <w:t>Методику</w:t>
        </w:r>
      </w:hyperlink>
      <w:r>
        <w:t xml:space="preserve"> расчета восстановительной стоимости зеленых насаждений и исчисления размера ущерба, вызываемого их повреждением и (или) уничтожением, на территории </w:t>
      </w:r>
      <w:proofErr w:type="gramStart"/>
      <w:r>
        <w:t>г</w:t>
      </w:r>
      <w:proofErr w:type="gramEnd"/>
      <w:r>
        <w:t>. Заречного Пензенской области, согласно приложению.</w:t>
      </w:r>
    </w:p>
    <w:p w:rsidR="00E77B3C" w:rsidRDefault="00E77B3C">
      <w:pPr>
        <w:pStyle w:val="ConsPlusNormal"/>
        <w:spacing w:before="220"/>
        <w:ind w:firstLine="540"/>
        <w:jc w:val="both"/>
      </w:pPr>
      <w:r>
        <w:t xml:space="preserve">2. Опубликовать настоящее постановление в печатном средстве массовой информации газете "Ведомости </w:t>
      </w:r>
      <w:proofErr w:type="gramStart"/>
      <w:r>
        <w:t>Заречного</w:t>
      </w:r>
      <w:proofErr w:type="gramEnd"/>
      <w:r>
        <w:t>".</w:t>
      </w:r>
    </w:p>
    <w:p w:rsidR="00E77B3C" w:rsidRDefault="00E77B3C">
      <w:pPr>
        <w:pStyle w:val="ConsPlusNormal"/>
        <w:spacing w:before="220"/>
        <w:ind w:firstLine="540"/>
        <w:jc w:val="both"/>
      </w:pPr>
      <w:r>
        <w:t>3. Контроль за исполнением настоящего постановления возложить на</w:t>
      </w:r>
      <w:proofErr w:type="gramStart"/>
      <w:r>
        <w:t xml:space="preserve"> П</w:t>
      </w:r>
      <w:proofErr w:type="gramEnd"/>
      <w:r>
        <w:t>ервого заместителя Главы Администрации города Заречного Зубову Ю.А.</w:t>
      </w:r>
    </w:p>
    <w:p w:rsidR="00E77B3C" w:rsidRDefault="00E77B3C">
      <w:pPr>
        <w:pStyle w:val="ConsPlusNormal"/>
        <w:ind w:firstLine="540"/>
        <w:jc w:val="both"/>
      </w:pPr>
    </w:p>
    <w:p w:rsidR="00E77B3C" w:rsidRDefault="00E77B3C">
      <w:pPr>
        <w:pStyle w:val="ConsPlusNormal"/>
        <w:jc w:val="right"/>
      </w:pPr>
      <w:r>
        <w:t>Глава Администрации</w:t>
      </w:r>
    </w:p>
    <w:p w:rsidR="00E77B3C" w:rsidRDefault="00E77B3C">
      <w:pPr>
        <w:pStyle w:val="ConsPlusNormal"/>
        <w:jc w:val="right"/>
      </w:pPr>
      <w:r>
        <w:t>В.В.ГЛАДКОВ</w:t>
      </w:r>
    </w:p>
    <w:p w:rsidR="00E77B3C" w:rsidRDefault="00E77B3C">
      <w:pPr>
        <w:pStyle w:val="ConsPlusNormal"/>
        <w:ind w:firstLine="540"/>
        <w:jc w:val="both"/>
      </w:pPr>
    </w:p>
    <w:p w:rsidR="00E77B3C" w:rsidRDefault="00E77B3C">
      <w:pPr>
        <w:pStyle w:val="ConsPlusNormal"/>
        <w:ind w:firstLine="540"/>
        <w:jc w:val="both"/>
      </w:pPr>
    </w:p>
    <w:p w:rsidR="00E77B3C" w:rsidRDefault="00E77B3C">
      <w:pPr>
        <w:pStyle w:val="ConsPlusNormal"/>
        <w:ind w:firstLine="540"/>
        <w:jc w:val="both"/>
      </w:pPr>
    </w:p>
    <w:p w:rsidR="00E77B3C" w:rsidRDefault="00E77B3C">
      <w:pPr>
        <w:pStyle w:val="ConsPlusNormal"/>
        <w:ind w:firstLine="540"/>
        <w:jc w:val="both"/>
      </w:pPr>
    </w:p>
    <w:p w:rsidR="00E77B3C" w:rsidRDefault="00E77B3C">
      <w:pPr>
        <w:pStyle w:val="ConsPlusNormal"/>
        <w:ind w:firstLine="540"/>
        <w:jc w:val="both"/>
      </w:pPr>
    </w:p>
    <w:p w:rsidR="00E77B3C" w:rsidRDefault="00E77B3C">
      <w:pPr>
        <w:pStyle w:val="ConsPlusNormal"/>
        <w:jc w:val="right"/>
        <w:outlineLvl w:val="0"/>
      </w:pPr>
      <w:r>
        <w:t>Приложение</w:t>
      </w:r>
    </w:p>
    <w:p w:rsidR="00E77B3C" w:rsidRDefault="00E77B3C">
      <w:pPr>
        <w:pStyle w:val="ConsPlusNormal"/>
        <w:ind w:firstLine="540"/>
        <w:jc w:val="both"/>
      </w:pPr>
    </w:p>
    <w:p w:rsidR="00E77B3C" w:rsidRDefault="00E77B3C">
      <w:pPr>
        <w:pStyle w:val="ConsPlusNormal"/>
        <w:jc w:val="right"/>
      </w:pPr>
      <w:r>
        <w:t>Утверждена</w:t>
      </w:r>
    </w:p>
    <w:p w:rsidR="00E77B3C" w:rsidRDefault="00E77B3C">
      <w:pPr>
        <w:pStyle w:val="ConsPlusNormal"/>
        <w:jc w:val="right"/>
      </w:pPr>
      <w:r>
        <w:t>постановлением</w:t>
      </w:r>
    </w:p>
    <w:p w:rsidR="00E77B3C" w:rsidRDefault="00E77B3C">
      <w:pPr>
        <w:pStyle w:val="ConsPlusNormal"/>
        <w:jc w:val="right"/>
      </w:pPr>
      <w:r>
        <w:t>Администрации</w:t>
      </w:r>
    </w:p>
    <w:p w:rsidR="00E77B3C" w:rsidRDefault="00E77B3C">
      <w:pPr>
        <w:pStyle w:val="ConsPlusNormal"/>
        <w:jc w:val="right"/>
      </w:pPr>
      <w:r>
        <w:t>от 7 июля 2016 г. N 1605</w:t>
      </w:r>
    </w:p>
    <w:p w:rsidR="00E77B3C" w:rsidRDefault="00E77B3C">
      <w:pPr>
        <w:pStyle w:val="ConsPlusNormal"/>
        <w:ind w:firstLine="540"/>
        <w:jc w:val="both"/>
      </w:pPr>
    </w:p>
    <w:p w:rsidR="00E77B3C" w:rsidRDefault="00E77B3C">
      <w:pPr>
        <w:pStyle w:val="ConsPlusTitle"/>
        <w:jc w:val="center"/>
      </w:pPr>
      <w:bookmarkStart w:id="0" w:name="P36"/>
      <w:bookmarkEnd w:id="0"/>
      <w:r>
        <w:t>МЕТОДИКА</w:t>
      </w:r>
    </w:p>
    <w:p w:rsidR="00E77B3C" w:rsidRDefault="00E77B3C">
      <w:pPr>
        <w:pStyle w:val="ConsPlusTitle"/>
        <w:jc w:val="center"/>
      </w:pPr>
      <w:r>
        <w:t>РАСЧЕТА ВОССТАНОВИТЕЛЬНОЙ СТОИМОСТИ ЗЕЛЕНЫХ НАСАЖДЕНИЙ</w:t>
      </w:r>
    </w:p>
    <w:p w:rsidR="00E77B3C" w:rsidRDefault="00E77B3C">
      <w:pPr>
        <w:pStyle w:val="ConsPlusTitle"/>
        <w:jc w:val="center"/>
      </w:pPr>
      <w:r>
        <w:t>И ИСЧИСЛЕНИЯ РАЗМЕРА УЩЕРБА, ВЫЗЫВАЕМОГО ИХ ПОВРЕЖДЕНИЕМ</w:t>
      </w:r>
    </w:p>
    <w:p w:rsidR="00E77B3C" w:rsidRDefault="00E77B3C">
      <w:pPr>
        <w:pStyle w:val="ConsPlusTitle"/>
        <w:jc w:val="center"/>
      </w:pPr>
      <w:r>
        <w:t xml:space="preserve">И (ИЛИ) УНИЧТОЖЕНИЕМ, НА ТЕРРИТОРИИ Г. </w:t>
      </w:r>
      <w:proofErr w:type="gramStart"/>
      <w:r>
        <w:t>ЗАРЕЧНОГО</w:t>
      </w:r>
      <w:proofErr w:type="gramEnd"/>
    </w:p>
    <w:p w:rsidR="00E77B3C" w:rsidRDefault="00E77B3C">
      <w:pPr>
        <w:pStyle w:val="ConsPlusTitle"/>
        <w:jc w:val="center"/>
      </w:pPr>
      <w:r>
        <w:t>ПЕНЗЕНСКОЙ ОБЛАСТИ</w:t>
      </w:r>
    </w:p>
    <w:p w:rsidR="00E77B3C" w:rsidRDefault="00E77B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77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7B3C" w:rsidRDefault="00E77B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7B3C" w:rsidRDefault="00E77B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7B3C" w:rsidRDefault="00E77B3C">
            <w:pPr>
              <w:pStyle w:val="ConsPlusNormal"/>
              <w:jc w:val="center"/>
            </w:pPr>
            <w:r>
              <w:rPr>
                <w:color w:val="392C69"/>
              </w:rPr>
              <w:t>Список изменяющих документов</w:t>
            </w:r>
          </w:p>
          <w:p w:rsidR="00E77B3C" w:rsidRDefault="00E77B3C">
            <w:pPr>
              <w:pStyle w:val="ConsPlusNormal"/>
              <w:jc w:val="center"/>
            </w:pPr>
            <w:proofErr w:type="gramStart"/>
            <w:r>
              <w:rPr>
                <w:color w:val="392C69"/>
              </w:rPr>
              <w:t xml:space="preserve">(в ред. Постановлений Администрации г. Заречного от 04.05.2018 </w:t>
            </w:r>
            <w:hyperlink r:id="rId10">
              <w:r>
                <w:rPr>
                  <w:color w:val="0000FF"/>
                </w:rPr>
                <w:t>N 893</w:t>
              </w:r>
            </w:hyperlink>
            <w:r>
              <w:rPr>
                <w:color w:val="392C69"/>
              </w:rPr>
              <w:t>,</w:t>
            </w:r>
            <w:proofErr w:type="gramEnd"/>
          </w:p>
          <w:p w:rsidR="00E77B3C" w:rsidRDefault="00E77B3C">
            <w:pPr>
              <w:pStyle w:val="ConsPlusNormal"/>
              <w:jc w:val="center"/>
            </w:pPr>
            <w:r>
              <w:rPr>
                <w:color w:val="392C69"/>
              </w:rPr>
              <w:lastRenderedPageBreak/>
              <w:t xml:space="preserve">от 06.06.2018 </w:t>
            </w:r>
            <w:hyperlink r:id="rId11">
              <w:r>
                <w:rPr>
                  <w:color w:val="0000FF"/>
                </w:rPr>
                <w:t>N 1174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7B3C" w:rsidRDefault="00E77B3C">
            <w:pPr>
              <w:pStyle w:val="ConsPlusNormal"/>
            </w:pPr>
          </w:p>
        </w:tc>
      </w:tr>
    </w:tbl>
    <w:p w:rsidR="00E77B3C" w:rsidRDefault="00E77B3C">
      <w:pPr>
        <w:pStyle w:val="ConsPlusNormal"/>
        <w:ind w:firstLine="540"/>
        <w:jc w:val="both"/>
      </w:pPr>
    </w:p>
    <w:p w:rsidR="00E77B3C" w:rsidRDefault="00E77B3C">
      <w:pPr>
        <w:pStyle w:val="ConsPlusNormal"/>
        <w:ind w:firstLine="540"/>
        <w:jc w:val="both"/>
      </w:pPr>
      <w:r>
        <w:t>1. Методика расчета восстановительной стоимости зеленых насаждений (далее - Методика) разработана для исчисления размера затрат на воспроизводство, посадку зеленых насаждений и возмещения вреда, причиняемого городу в результате негативного воздействия на зеленые насаждения, находящиеся на территории города.</w:t>
      </w:r>
    </w:p>
    <w:p w:rsidR="00E77B3C" w:rsidRDefault="00E77B3C">
      <w:pPr>
        <w:pStyle w:val="ConsPlusNormal"/>
        <w:spacing w:before="220"/>
        <w:ind w:firstLine="540"/>
        <w:jc w:val="both"/>
      </w:pPr>
      <w:r>
        <w:t>Методика применяется:</w:t>
      </w:r>
    </w:p>
    <w:p w:rsidR="00E77B3C" w:rsidRDefault="00E77B3C">
      <w:pPr>
        <w:pStyle w:val="ConsPlusNormal"/>
        <w:spacing w:before="220"/>
        <w:ind w:firstLine="540"/>
        <w:jc w:val="both"/>
      </w:pPr>
      <w:r>
        <w:t>- при расчете вреда в случае установления факта самовольного сноса (повреждения) зеленых насаждений;</w:t>
      </w:r>
    </w:p>
    <w:p w:rsidR="00E77B3C" w:rsidRDefault="00E77B3C">
      <w:pPr>
        <w:pStyle w:val="ConsPlusNormal"/>
        <w:spacing w:before="220"/>
        <w:ind w:firstLine="540"/>
        <w:jc w:val="both"/>
      </w:pPr>
      <w:r>
        <w:t>- при исчислении размера восстановительной стоимости зеленых насаждений;</w:t>
      </w:r>
    </w:p>
    <w:p w:rsidR="00E77B3C" w:rsidRDefault="00E77B3C">
      <w:pPr>
        <w:pStyle w:val="ConsPlusNormal"/>
        <w:spacing w:before="220"/>
        <w:ind w:firstLine="540"/>
        <w:jc w:val="both"/>
      </w:pPr>
      <w:r>
        <w:t>- в иных случаях, связанных с определением восстановительной стоимости зеленых насаждений на территории города.</w:t>
      </w:r>
    </w:p>
    <w:p w:rsidR="00E77B3C" w:rsidRDefault="00E77B3C">
      <w:pPr>
        <w:pStyle w:val="ConsPlusNormal"/>
        <w:spacing w:before="220"/>
        <w:ind w:firstLine="540"/>
        <w:jc w:val="both"/>
      </w:pPr>
      <w:r>
        <w:t>Расчет восстановительной стоимости зеленых насаждений производится с учетом:</w:t>
      </w:r>
    </w:p>
    <w:p w:rsidR="00E77B3C" w:rsidRDefault="00E77B3C">
      <w:pPr>
        <w:pStyle w:val="ConsPlusNormal"/>
        <w:spacing w:before="220"/>
        <w:ind w:firstLine="540"/>
        <w:jc w:val="both"/>
      </w:pPr>
      <w:r>
        <w:t>- действительной восстановительной стоимости зеленых насаждений, включающей:</w:t>
      </w:r>
    </w:p>
    <w:p w:rsidR="00E77B3C" w:rsidRDefault="00E77B3C">
      <w:pPr>
        <w:pStyle w:val="ConsPlusNormal"/>
        <w:spacing w:before="220"/>
        <w:ind w:firstLine="540"/>
        <w:jc w:val="both"/>
      </w:pPr>
      <w:r>
        <w:t>1) единовременные затраты по посадке деревьев и кустарников, устройству газонов и цветников (стоимость посадочного материала, растительного грунта, подготовка территории, оплата работ, накладные расходы, плановые накопления, транспортные расходы, налоги);</w:t>
      </w:r>
    </w:p>
    <w:p w:rsidR="00E77B3C" w:rsidRDefault="00E77B3C">
      <w:pPr>
        <w:pStyle w:val="ConsPlusNormal"/>
        <w:spacing w:before="220"/>
        <w:ind w:firstLine="540"/>
        <w:jc w:val="both"/>
      </w:pPr>
      <w:r>
        <w:t xml:space="preserve">2) текущие издержки по уходу за зелеными насаждениями (полив растений, внесение удобрений, прополка и рыхление приствольных кругов, </w:t>
      </w:r>
      <w:proofErr w:type="spellStart"/>
      <w:r>
        <w:t>кронирование</w:t>
      </w:r>
      <w:proofErr w:type="spellEnd"/>
      <w:r>
        <w:t xml:space="preserve"> и обрезка сухих ветвей, борьба с вредителями);</w:t>
      </w:r>
    </w:p>
    <w:p w:rsidR="00E77B3C" w:rsidRDefault="00E77B3C">
      <w:pPr>
        <w:pStyle w:val="ConsPlusNormal"/>
        <w:spacing w:before="220"/>
        <w:ind w:firstLine="540"/>
        <w:jc w:val="both"/>
      </w:pPr>
      <w:r>
        <w:t>- коэффициента:</w:t>
      </w:r>
    </w:p>
    <w:p w:rsidR="00E77B3C" w:rsidRDefault="00E77B3C">
      <w:pPr>
        <w:pStyle w:val="ConsPlusNormal"/>
        <w:spacing w:before="220"/>
        <w:ind w:firstLine="540"/>
        <w:jc w:val="both"/>
      </w:pPr>
      <w:proofErr w:type="gramStart"/>
      <w:r>
        <w:t>3) качественного состояния зеленых насаждений (условно здоровые, ослабленные).</w:t>
      </w:r>
      <w:proofErr w:type="gramEnd"/>
    </w:p>
    <w:p w:rsidR="00E77B3C" w:rsidRDefault="00E77B3C">
      <w:pPr>
        <w:pStyle w:val="ConsPlusNormal"/>
        <w:ind w:firstLine="540"/>
        <w:jc w:val="both"/>
      </w:pPr>
    </w:p>
    <w:p w:rsidR="00E77B3C" w:rsidRDefault="00E77B3C">
      <w:pPr>
        <w:pStyle w:val="ConsPlusNormal"/>
        <w:jc w:val="center"/>
        <w:outlineLvl w:val="1"/>
      </w:pPr>
      <w:r>
        <w:t>1. Расчет восстановительной стоимости зеленых насаждений</w:t>
      </w:r>
    </w:p>
    <w:p w:rsidR="00E77B3C" w:rsidRDefault="00E77B3C">
      <w:pPr>
        <w:pStyle w:val="ConsPlusNormal"/>
        <w:ind w:firstLine="540"/>
        <w:jc w:val="both"/>
      </w:pPr>
    </w:p>
    <w:p w:rsidR="00E77B3C" w:rsidRDefault="00E77B3C">
      <w:pPr>
        <w:pStyle w:val="ConsPlusNormal"/>
        <w:ind w:firstLine="540"/>
        <w:jc w:val="both"/>
      </w:pPr>
      <w:r>
        <w:t>Расчет восстановительной стоимости зеленых насаждений производится по формуле:</w:t>
      </w:r>
    </w:p>
    <w:p w:rsidR="00E77B3C" w:rsidRDefault="00E77B3C">
      <w:pPr>
        <w:pStyle w:val="ConsPlusNormal"/>
        <w:ind w:firstLine="540"/>
        <w:jc w:val="both"/>
      </w:pPr>
    </w:p>
    <w:p w:rsidR="00E77B3C" w:rsidRDefault="00E77B3C">
      <w:pPr>
        <w:pStyle w:val="ConsPlusNormal"/>
        <w:ind w:firstLine="540"/>
        <w:jc w:val="both"/>
      </w:pPr>
      <w:proofErr w:type="spellStart"/>
      <w:r>
        <w:t>Ск</w:t>
      </w:r>
      <w:proofErr w:type="spellEnd"/>
      <w:r>
        <w:t xml:space="preserve"> = </w:t>
      </w:r>
      <w:proofErr w:type="spellStart"/>
      <w:r>
        <w:t>Бн</w:t>
      </w:r>
      <w:proofErr w:type="spellEnd"/>
      <w:r>
        <w:t xml:space="preserve"> </w:t>
      </w:r>
      <w:proofErr w:type="spellStart"/>
      <w:r>
        <w:t>x</w:t>
      </w:r>
      <w:proofErr w:type="spellEnd"/>
      <w:r>
        <w:t xml:space="preserve"> Н </w:t>
      </w:r>
      <w:proofErr w:type="spellStart"/>
      <w:r>
        <w:t>x</w:t>
      </w:r>
      <w:proofErr w:type="spellEnd"/>
      <w:r>
        <w:t xml:space="preserve"> </w:t>
      </w:r>
      <w:proofErr w:type="spellStart"/>
      <w:r>
        <w:t>Ксост</w:t>
      </w:r>
      <w:proofErr w:type="spellEnd"/>
      <w:r>
        <w:t>,</w:t>
      </w:r>
    </w:p>
    <w:p w:rsidR="00E77B3C" w:rsidRDefault="00E77B3C">
      <w:pPr>
        <w:pStyle w:val="ConsPlusNormal"/>
        <w:ind w:firstLine="540"/>
        <w:jc w:val="both"/>
      </w:pPr>
    </w:p>
    <w:p w:rsidR="00E77B3C" w:rsidRDefault="00E77B3C">
      <w:pPr>
        <w:pStyle w:val="ConsPlusNormal"/>
        <w:ind w:firstLine="540"/>
        <w:jc w:val="both"/>
      </w:pPr>
      <w:r>
        <w:t>где:</w:t>
      </w:r>
    </w:p>
    <w:p w:rsidR="00E77B3C" w:rsidRDefault="00E77B3C">
      <w:pPr>
        <w:pStyle w:val="ConsPlusNormal"/>
        <w:spacing w:before="220"/>
        <w:ind w:firstLine="540"/>
        <w:jc w:val="both"/>
      </w:pPr>
      <w:proofErr w:type="spellStart"/>
      <w:r>
        <w:t>Ск</w:t>
      </w:r>
      <w:proofErr w:type="spellEnd"/>
      <w:r>
        <w:t xml:space="preserve"> - восстановительная стоимость основных видов деревьев и кустарников, травянистых растений, естественных растительных сообществ (в расчете на 1 дерево, 1 куст, 1 квадратный метр);</w:t>
      </w:r>
    </w:p>
    <w:p w:rsidR="00E77B3C" w:rsidRDefault="00E77B3C">
      <w:pPr>
        <w:pStyle w:val="ConsPlusNormal"/>
        <w:spacing w:before="220"/>
        <w:ind w:firstLine="540"/>
        <w:jc w:val="both"/>
      </w:pPr>
      <w:proofErr w:type="spellStart"/>
      <w:r>
        <w:t>Бн</w:t>
      </w:r>
      <w:proofErr w:type="spellEnd"/>
      <w:r>
        <w:t xml:space="preserve"> - базовый норматив стоимости восстановительных работ зеленых насаждений;</w:t>
      </w:r>
    </w:p>
    <w:p w:rsidR="00E77B3C" w:rsidRDefault="00E77B3C">
      <w:pPr>
        <w:pStyle w:val="ConsPlusNormal"/>
        <w:spacing w:before="220"/>
        <w:ind w:firstLine="540"/>
        <w:jc w:val="both"/>
      </w:pPr>
      <w:r>
        <w:t>Н - количество уничтоженных деревьев, кустарников, м</w:t>
      </w:r>
      <w:proofErr w:type="gramStart"/>
      <w:r>
        <w:t>2</w:t>
      </w:r>
      <w:proofErr w:type="gramEnd"/>
      <w:r>
        <w:t xml:space="preserve"> газона или цветника;</w:t>
      </w:r>
    </w:p>
    <w:p w:rsidR="00E77B3C" w:rsidRDefault="00E77B3C">
      <w:pPr>
        <w:pStyle w:val="ConsPlusNormal"/>
        <w:spacing w:before="220"/>
        <w:ind w:firstLine="540"/>
        <w:jc w:val="both"/>
      </w:pPr>
      <w:proofErr w:type="spellStart"/>
      <w:r>
        <w:t>Ксост</w:t>
      </w:r>
      <w:proofErr w:type="spellEnd"/>
      <w:r>
        <w:t xml:space="preserve"> - учитывает фактическое состояние зеленых насаждений в соответствии с </w:t>
      </w:r>
      <w:hyperlink w:anchor="P341">
        <w:r>
          <w:rPr>
            <w:color w:val="0000FF"/>
          </w:rPr>
          <w:t>таблицей 2</w:t>
        </w:r>
      </w:hyperlink>
      <w:r>
        <w:t xml:space="preserve"> (только для деревьев).</w:t>
      </w:r>
    </w:p>
    <w:p w:rsidR="00E77B3C" w:rsidRDefault="00E77B3C">
      <w:pPr>
        <w:pStyle w:val="ConsPlusNormal"/>
        <w:ind w:firstLine="540"/>
        <w:jc w:val="both"/>
      </w:pPr>
    </w:p>
    <w:p w:rsidR="00E77B3C" w:rsidRDefault="00E77B3C">
      <w:pPr>
        <w:pStyle w:val="ConsPlusNormal"/>
        <w:jc w:val="center"/>
        <w:outlineLvl w:val="1"/>
      </w:pPr>
      <w:r>
        <w:t>2. Базовый норматив стоимости восстановительных работ</w:t>
      </w:r>
    </w:p>
    <w:p w:rsidR="00E77B3C" w:rsidRDefault="00E77B3C">
      <w:pPr>
        <w:pStyle w:val="ConsPlusNormal"/>
        <w:ind w:firstLine="540"/>
        <w:jc w:val="both"/>
      </w:pPr>
    </w:p>
    <w:p w:rsidR="00E77B3C" w:rsidRDefault="00E77B3C">
      <w:pPr>
        <w:pStyle w:val="ConsPlusNormal"/>
        <w:ind w:firstLine="540"/>
        <w:jc w:val="both"/>
      </w:pPr>
      <w:r>
        <w:t xml:space="preserve">2.1. Базовый норматив стоимости восстановительных работ зеленых насаждений </w:t>
      </w:r>
      <w:r>
        <w:lastRenderedPageBreak/>
        <w:t>рассчитывается по формуле:</w:t>
      </w:r>
    </w:p>
    <w:p w:rsidR="00E77B3C" w:rsidRDefault="00E77B3C">
      <w:pPr>
        <w:pStyle w:val="ConsPlusNormal"/>
        <w:ind w:firstLine="540"/>
        <w:jc w:val="both"/>
      </w:pPr>
    </w:p>
    <w:p w:rsidR="00E77B3C" w:rsidRDefault="00E77B3C">
      <w:pPr>
        <w:pStyle w:val="ConsPlusNormal"/>
        <w:ind w:firstLine="540"/>
        <w:jc w:val="both"/>
      </w:pPr>
      <w:proofErr w:type="spellStart"/>
      <w:r>
        <w:t>Бн</w:t>
      </w:r>
      <w:proofErr w:type="spellEnd"/>
      <w:r>
        <w:t xml:space="preserve"> = </w:t>
      </w:r>
      <w:proofErr w:type="spellStart"/>
      <w:r>
        <w:t>Сп</w:t>
      </w:r>
      <w:proofErr w:type="spellEnd"/>
      <w:r>
        <w:t xml:space="preserve"> + </w:t>
      </w:r>
      <w:proofErr w:type="spellStart"/>
      <w:r>
        <w:t>Сп</w:t>
      </w:r>
      <w:proofErr w:type="gramStart"/>
      <w:r>
        <w:t>.м</w:t>
      </w:r>
      <w:proofErr w:type="gramEnd"/>
      <w:r>
        <w:t>ат</w:t>
      </w:r>
      <w:proofErr w:type="spellEnd"/>
      <w:r>
        <w:t xml:space="preserve">. + </w:t>
      </w:r>
      <w:proofErr w:type="spellStart"/>
      <w:r>
        <w:t>Ссод</w:t>
      </w:r>
      <w:proofErr w:type="spellEnd"/>
      <w:r>
        <w:t xml:space="preserve"> </w:t>
      </w:r>
      <w:proofErr w:type="spellStart"/>
      <w:r>
        <w:t>x</w:t>
      </w:r>
      <w:proofErr w:type="spellEnd"/>
      <w:r>
        <w:t xml:space="preserve"> </w:t>
      </w:r>
      <w:proofErr w:type="spellStart"/>
      <w:r>
        <w:t>Квд</w:t>
      </w:r>
      <w:proofErr w:type="spellEnd"/>
      <w:r>
        <w:t>.,</w:t>
      </w:r>
    </w:p>
    <w:p w:rsidR="00E77B3C" w:rsidRDefault="00E77B3C">
      <w:pPr>
        <w:pStyle w:val="ConsPlusNormal"/>
        <w:ind w:firstLine="540"/>
        <w:jc w:val="both"/>
      </w:pPr>
    </w:p>
    <w:p w:rsidR="00E77B3C" w:rsidRDefault="00E77B3C">
      <w:pPr>
        <w:pStyle w:val="ConsPlusNormal"/>
        <w:ind w:firstLine="540"/>
        <w:jc w:val="both"/>
      </w:pPr>
      <w:r>
        <w:t>где:</w:t>
      </w:r>
    </w:p>
    <w:p w:rsidR="00E77B3C" w:rsidRDefault="00E77B3C">
      <w:pPr>
        <w:pStyle w:val="ConsPlusNormal"/>
        <w:spacing w:before="220"/>
        <w:ind w:firstLine="540"/>
        <w:jc w:val="both"/>
      </w:pPr>
      <w:proofErr w:type="spellStart"/>
      <w:r>
        <w:t>Бн</w:t>
      </w:r>
      <w:proofErr w:type="spellEnd"/>
      <w:r>
        <w:t xml:space="preserve"> - базовый норматив стоимости восстановительных работ зеленых насаждений;</w:t>
      </w:r>
    </w:p>
    <w:p w:rsidR="00E77B3C" w:rsidRDefault="00E77B3C">
      <w:pPr>
        <w:pStyle w:val="ConsPlusNormal"/>
        <w:spacing w:before="220"/>
        <w:ind w:firstLine="540"/>
        <w:jc w:val="both"/>
      </w:pPr>
      <w:proofErr w:type="spellStart"/>
      <w:r>
        <w:t>Сп</w:t>
      </w:r>
      <w:proofErr w:type="spellEnd"/>
      <w:r>
        <w:t xml:space="preserve"> - стоимость работ по посадке деревьев, кустарников, газонов, цветников;</w:t>
      </w:r>
    </w:p>
    <w:p w:rsidR="00E77B3C" w:rsidRDefault="00E77B3C">
      <w:pPr>
        <w:pStyle w:val="ConsPlusNormal"/>
        <w:spacing w:before="220"/>
        <w:ind w:firstLine="540"/>
        <w:jc w:val="both"/>
      </w:pPr>
      <w:proofErr w:type="spellStart"/>
      <w:r>
        <w:t>Сп</w:t>
      </w:r>
      <w:proofErr w:type="gramStart"/>
      <w:r>
        <w:t>.м</w:t>
      </w:r>
      <w:proofErr w:type="gramEnd"/>
      <w:r>
        <w:t>ат</w:t>
      </w:r>
      <w:proofErr w:type="spellEnd"/>
      <w:r>
        <w:t>. - стоимость посадочного материала;</w:t>
      </w:r>
    </w:p>
    <w:p w:rsidR="00E77B3C" w:rsidRDefault="00E77B3C">
      <w:pPr>
        <w:pStyle w:val="ConsPlusNormal"/>
        <w:spacing w:before="220"/>
        <w:ind w:firstLine="540"/>
        <w:jc w:val="both"/>
      </w:pPr>
      <w:proofErr w:type="spellStart"/>
      <w:r>
        <w:t>Ссод</w:t>
      </w:r>
      <w:proofErr w:type="spellEnd"/>
      <w:r>
        <w:t xml:space="preserve"> - стоимость работ по содержанию зеленых насаждений;</w:t>
      </w:r>
    </w:p>
    <w:p w:rsidR="00E77B3C" w:rsidRDefault="00E77B3C">
      <w:pPr>
        <w:pStyle w:val="ConsPlusNormal"/>
        <w:spacing w:before="220"/>
        <w:ind w:firstLine="540"/>
        <w:jc w:val="both"/>
      </w:pPr>
      <w:proofErr w:type="spellStart"/>
      <w:r>
        <w:t>Квд</w:t>
      </w:r>
      <w:proofErr w:type="spellEnd"/>
      <w:r>
        <w:t xml:space="preserve"> - количество лет восстановительного периода (только для деревьев).</w:t>
      </w:r>
    </w:p>
    <w:p w:rsidR="00E77B3C" w:rsidRDefault="00E77B3C">
      <w:pPr>
        <w:pStyle w:val="ConsPlusNormal"/>
        <w:spacing w:before="220"/>
        <w:ind w:firstLine="540"/>
        <w:jc w:val="both"/>
      </w:pPr>
      <w:r>
        <w:t>Деревья подсчитываются поштучно.</w:t>
      </w:r>
    </w:p>
    <w:p w:rsidR="00E77B3C" w:rsidRDefault="00E77B3C">
      <w:pPr>
        <w:pStyle w:val="ConsPlusNormal"/>
        <w:spacing w:before="220"/>
        <w:ind w:firstLine="540"/>
        <w:jc w:val="both"/>
      </w:pPr>
      <w:r>
        <w:t>Если дерево имеет несколько стволов, то в расчетах каждый ствол учитывается отдельно, при условии, что стволы на высоте 0,5 м разведены в пространстве.</w:t>
      </w:r>
    </w:p>
    <w:p w:rsidR="00E77B3C" w:rsidRDefault="00E77B3C">
      <w:pPr>
        <w:pStyle w:val="ConsPlusNormal"/>
        <w:spacing w:before="220"/>
        <w:ind w:firstLine="540"/>
        <w:jc w:val="both"/>
      </w:pPr>
      <w:r>
        <w:t>Кустарники в группах подсчитываются поштучно.</w:t>
      </w:r>
    </w:p>
    <w:p w:rsidR="00E77B3C" w:rsidRDefault="00E77B3C">
      <w:pPr>
        <w:pStyle w:val="ConsPlusNormal"/>
        <w:spacing w:before="220"/>
        <w:ind w:firstLine="540"/>
        <w:jc w:val="both"/>
      </w:pPr>
      <w:r>
        <w:t>При подсчете количества кустарников в живой изгороди количество вырубаемых кустарников на каждый погонный метр при двухрядной изгороди принимается 5 штукам и при однорядной - 3 штукам.</w:t>
      </w:r>
    </w:p>
    <w:p w:rsidR="00E77B3C" w:rsidRDefault="00E77B3C">
      <w:pPr>
        <w:pStyle w:val="ConsPlusNormal"/>
        <w:spacing w:before="220"/>
        <w:ind w:firstLine="540"/>
        <w:jc w:val="both"/>
      </w:pPr>
      <w:r>
        <w:t>Заросли самосевных деревьев и кустарников (деревьев и (или) кустарники самосевного и порослевого происхождения, образующие единый сомкнутый полог) рассчитываются следующим образом: каждые 100 кв. м приравниваются к 20 деревьям.</w:t>
      </w:r>
    </w:p>
    <w:p w:rsidR="00E77B3C" w:rsidRDefault="00E77B3C">
      <w:pPr>
        <w:pStyle w:val="ConsPlusNormal"/>
        <w:spacing w:before="220"/>
        <w:ind w:firstLine="540"/>
        <w:jc w:val="both"/>
      </w:pPr>
      <w:r>
        <w:t>Количество газонов и естественной травяной растительности определяется исходя из занимаемой ими площади в квадратных метрах.</w:t>
      </w:r>
    </w:p>
    <w:p w:rsidR="00E77B3C" w:rsidRDefault="00E77B3C">
      <w:pPr>
        <w:pStyle w:val="ConsPlusNormal"/>
        <w:spacing w:before="220"/>
        <w:ind w:firstLine="540"/>
        <w:jc w:val="both"/>
      </w:pPr>
      <w:r>
        <w:t xml:space="preserve">2.2. Сметная стоимость посадки зеленых насаждений без учета стоимости посадочного материала определяется исходя из базисного уровня цен 2001 года с применением Территориальных сметных нормативов по Пензенской области, с учетом НДС, с применением коэффициента для пересчета цен прошлых периодов к текущему уровню цен. </w:t>
      </w:r>
      <w:proofErr w:type="gramStart"/>
      <w:r>
        <w:t>Коэффициент для пересчета цен прошлых периодов к текущему уровню цен принимается равный индексу потребительских цен на товары и услуги по Пензенской области на месяц к предыдущему месяцу в интервале от января 2002 года до декабря года, предшествующего году, когда формируется стоимость посадки зеленых насаждений, установленному Территориальным органом Федеральной службы государственной статистики по Пензенской области (официальный сайт в сети "Интернет" http</w:t>
      </w:r>
      <w:proofErr w:type="gramEnd"/>
      <w:r>
        <w:t>://</w:t>
      </w:r>
      <w:proofErr w:type="gramStart"/>
      <w:r>
        <w:t>78.25.70.150/PriceIndexes/PriceForm.aspx).</w:t>
      </w:r>
      <w:proofErr w:type="gramEnd"/>
      <w:r>
        <w:t xml:space="preserve"> Стоимость неучтенных материалов определяется среднестатистической ценой по мониторинговым исследованиям.</w:t>
      </w:r>
    </w:p>
    <w:p w:rsidR="00E77B3C" w:rsidRDefault="00E77B3C">
      <w:pPr>
        <w:pStyle w:val="ConsPlusNormal"/>
        <w:jc w:val="both"/>
      </w:pPr>
      <w:r>
        <w:t xml:space="preserve">(п. 2.2 в ред. </w:t>
      </w:r>
      <w:hyperlink r:id="rId12">
        <w:r>
          <w:rPr>
            <w:color w:val="0000FF"/>
          </w:rPr>
          <w:t>Постановления</w:t>
        </w:r>
      </w:hyperlink>
      <w:r>
        <w:t xml:space="preserve"> Администрации </w:t>
      </w:r>
      <w:proofErr w:type="gramStart"/>
      <w:r>
        <w:t>г</w:t>
      </w:r>
      <w:proofErr w:type="gramEnd"/>
      <w:r>
        <w:t>. Заречного от 06.06.2018 N 1174)</w:t>
      </w:r>
    </w:p>
    <w:p w:rsidR="00E77B3C" w:rsidRDefault="00E77B3C">
      <w:pPr>
        <w:pStyle w:val="ConsPlusNormal"/>
        <w:spacing w:before="220"/>
        <w:ind w:firstLine="540"/>
        <w:jc w:val="both"/>
      </w:pPr>
      <w:r>
        <w:t>2.3. Стоимость посадочного материала устанавливается Перечнем посадочного материала, выращенного на лесопитомнике, в соответствии с таблицей 1.</w:t>
      </w:r>
    </w:p>
    <w:p w:rsidR="00E77B3C" w:rsidRDefault="00E77B3C">
      <w:pPr>
        <w:pStyle w:val="ConsPlusNormal"/>
        <w:ind w:firstLine="540"/>
        <w:jc w:val="both"/>
      </w:pPr>
    </w:p>
    <w:p w:rsidR="00E77B3C" w:rsidRDefault="00E77B3C">
      <w:pPr>
        <w:pStyle w:val="ConsPlusNormal"/>
        <w:jc w:val="right"/>
        <w:outlineLvl w:val="2"/>
      </w:pPr>
      <w:r>
        <w:t>Таблица 1</w:t>
      </w:r>
    </w:p>
    <w:p w:rsidR="00E77B3C" w:rsidRDefault="00E77B3C">
      <w:pPr>
        <w:pStyle w:val="ConsPlusNormal"/>
        <w:ind w:firstLine="540"/>
        <w:jc w:val="both"/>
      </w:pPr>
    </w:p>
    <w:p w:rsidR="00E77B3C" w:rsidRDefault="00E77B3C">
      <w:pPr>
        <w:pStyle w:val="ConsPlusNormal"/>
        <w:jc w:val="center"/>
      </w:pPr>
      <w:proofErr w:type="gramStart"/>
      <w:r>
        <w:t xml:space="preserve">(в ред. </w:t>
      </w:r>
      <w:hyperlink r:id="rId13">
        <w:r>
          <w:rPr>
            <w:color w:val="0000FF"/>
          </w:rPr>
          <w:t>Постановления</w:t>
        </w:r>
      </w:hyperlink>
      <w:r>
        <w:t xml:space="preserve"> Администрации г. Заречного</w:t>
      </w:r>
      <w:proofErr w:type="gramEnd"/>
    </w:p>
    <w:p w:rsidR="00E77B3C" w:rsidRDefault="00E77B3C">
      <w:pPr>
        <w:pStyle w:val="ConsPlusNormal"/>
        <w:jc w:val="center"/>
      </w:pPr>
      <w:r>
        <w:t>от 04.05.2018 N 893)</w:t>
      </w:r>
    </w:p>
    <w:p w:rsidR="00E77B3C" w:rsidRDefault="00E77B3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706"/>
        <w:gridCol w:w="1984"/>
        <w:gridCol w:w="1500"/>
      </w:tblGrid>
      <w:tr w:rsidR="00E77B3C">
        <w:tc>
          <w:tcPr>
            <w:tcW w:w="680" w:type="dxa"/>
            <w:vAlign w:val="center"/>
          </w:tcPr>
          <w:p w:rsidR="00E77B3C" w:rsidRDefault="00E77B3C">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4706" w:type="dxa"/>
            <w:vAlign w:val="center"/>
          </w:tcPr>
          <w:p w:rsidR="00E77B3C" w:rsidRDefault="00E77B3C">
            <w:pPr>
              <w:pStyle w:val="ConsPlusNormal"/>
              <w:jc w:val="center"/>
            </w:pPr>
            <w:r>
              <w:t>Наименование посадочного материала</w:t>
            </w:r>
          </w:p>
        </w:tc>
        <w:tc>
          <w:tcPr>
            <w:tcW w:w="1984" w:type="dxa"/>
            <w:vAlign w:val="center"/>
          </w:tcPr>
          <w:p w:rsidR="00E77B3C" w:rsidRDefault="00E77B3C">
            <w:pPr>
              <w:pStyle w:val="ConsPlusNormal"/>
              <w:jc w:val="center"/>
            </w:pPr>
            <w:r>
              <w:t xml:space="preserve">Высота, </w:t>
            </w:r>
            <w:proofErr w:type="gramStart"/>
            <w:r>
              <w:t>м</w:t>
            </w:r>
            <w:proofErr w:type="gramEnd"/>
          </w:p>
        </w:tc>
        <w:tc>
          <w:tcPr>
            <w:tcW w:w="1500" w:type="dxa"/>
            <w:vAlign w:val="center"/>
          </w:tcPr>
          <w:p w:rsidR="00E77B3C" w:rsidRDefault="00E77B3C">
            <w:pPr>
              <w:pStyle w:val="ConsPlusNormal"/>
              <w:jc w:val="center"/>
            </w:pPr>
            <w:r>
              <w:t>Стоимость, руб.</w:t>
            </w:r>
          </w:p>
        </w:tc>
      </w:tr>
      <w:tr w:rsidR="00E77B3C">
        <w:tc>
          <w:tcPr>
            <w:tcW w:w="680" w:type="dxa"/>
          </w:tcPr>
          <w:p w:rsidR="00E77B3C" w:rsidRDefault="00E77B3C">
            <w:pPr>
              <w:pStyle w:val="ConsPlusNormal"/>
              <w:jc w:val="center"/>
            </w:pPr>
            <w:r>
              <w:t>1</w:t>
            </w:r>
          </w:p>
        </w:tc>
        <w:tc>
          <w:tcPr>
            <w:tcW w:w="4706" w:type="dxa"/>
          </w:tcPr>
          <w:p w:rsidR="00E77B3C" w:rsidRDefault="00E77B3C">
            <w:pPr>
              <w:pStyle w:val="ConsPlusNormal"/>
              <w:jc w:val="center"/>
            </w:pPr>
            <w:r>
              <w:t>2</w:t>
            </w:r>
          </w:p>
        </w:tc>
        <w:tc>
          <w:tcPr>
            <w:tcW w:w="1984" w:type="dxa"/>
          </w:tcPr>
          <w:p w:rsidR="00E77B3C" w:rsidRDefault="00E77B3C">
            <w:pPr>
              <w:pStyle w:val="ConsPlusNormal"/>
              <w:jc w:val="center"/>
            </w:pPr>
            <w:r>
              <w:t>3</w:t>
            </w:r>
          </w:p>
        </w:tc>
        <w:tc>
          <w:tcPr>
            <w:tcW w:w="1500" w:type="dxa"/>
          </w:tcPr>
          <w:p w:rsidR="00E77B3C" w:rsidRDefault="00E77B3C">
            <w:pPr>
              <w:pStyle w:val="ConsPlusNormal"/>
              <w:jc w:val="center"/>
            </w:pPr>
            <w:r>
              <w:t>4</w:t>
            </w:r>
          </w:p>
        </w:tc>
      </w:tr>
      <w:tr w:rsidR="00E77B3C">
        <w:tc>
          <w:tcPr>
            <w:tcW w:w="680" w:type="dxa"/>
          </w:tcPr>
          <w:p w:rsidR="00E77B3C" w:rsidRDefault="00E77B3C">
            <w:pPr>
              <w:pStyle w:val="ConsPlusNormal"/>
              <w:jc w:val="center"/>
              <w:outlineLvl w:val="3"/>
            </w:pPr>
            <w:r>
              <w:t>1</w:t>
            </w:r>
          </w:p>
        </w:tc>
        <w:tc>
          <w:tcPr>
            <w:tcW w:w="4706" w:type="dxa"/>
          </w:tcPr>
          <w:p w:rsidR="00E77B3C" w:rsidRDefault="00E77B3C">
            <w:pPr>
              <w:pStyle w:val="ConsPlusNormal"/>
              <w:jc w:val="both"/>
            </w:pPr>
            <w:r>
              <w:t>Саженцы деревьев</w:t>
            </w:r>
          </w:p>
        </w:tc>
        <w:tc>
          <w:tcPr>
            <w:tcW w:w="1984" w:type="dxa"/>
          </w:tcPr>
          <w:p w:rsidR="00E77B3C" w:rsidRDefault="00E77B3C">
            <w:pPr>
              <w:pStyle w:val="ConsPlusNormal"/>
            </w:pPr>
          </w:p>
        </w:tc>
        <w:tc>
          <w:tcPr>
            <w:tcW w:w="1500" w:type="dxa"/>
          </w:tcPr>
          <w:p w:rsidR="00E77B3C" w:rsidRDefault="00E77B3C">
            <w:pPr>
              <w:pStyle w:val="ConsPlusNormal"/>
            </w:pPr>
          </w:p>
        </w:tc>
      </w:tr>
      <w:tr w:rsidR="00E77B3C">
        <w:tc>
          <w:tcPr>
            <w:tcW w:w="680" w:type="dxa"/>
          </w:tcPr>
          <w:p w:rsidR="00E77B3C" w:rsidRDefault="00E77B3C">
            <w:pPr>
              <w:pStyle w:val="ConsPlusNormal"/>
              <w:jc w:val="center"/>
            </w:pPr>
            <w:r>
              <w:t>1.1</w:t>
            </w:r>
          </w:p>
        </w:tc>
        <w:tc>
          <w:tcPr>
            <w:tcW w:w="4706" w:type="dxa"/>
          </w:tcPr>
          <w:p w:rsidR="00E77B3C" w:rsidRDefault="00E77B3C">
            <w:pPr>
              <w:pStyle w:val="ConsPlusNormal"/>
              <w:jc w:val="both"/>
            </w:pPr>
            <w:r>
              <w:t>Береза обыкновенная</w:t>
            </w:r>
          </w:p>
        </w:tc>
        <w:tc>
          <w:tcPr>
            <w:tcW w:w="1984" w:type="dxa"/>
          </w:tcPr>
          <w:p w:rsidR="00E77B3C" w:rsidRDefault="00E77B3C">
            <w:pPr>
              <w:pStyle w:val="ConsPlusNormal"/>
              <w:jc w:val="both"/>
            </w:pPr>
            <w:r>
              <w:t>от 1 до 2 м</w:t>
            </w:r>
          </w:p>
        </w:tc>
        <w:tc>
          <w:tcPr>
            <w:tcW w:w="1500" w:type="dxa"/>
          </w:tcPr>
          <w:p w:rsidR="00E77B3C" w:rsidRDefault="00E77B3C">
            <w:pPr>
              <w:pStyle w:val="ConsPlusNormal"/>
              <w:jc w:val="center"/>
            </w:pPr>
            <w:r>
              <w:t>194,92</w:t>
            </w:r>
          </w:p>
        </w:tc>
      </w:tr>
      <w:tr w:rsidR="00E77B3C">
        <w:tc>
          <w:tcPr>
            <w:tcW w:w="680" w:type="dxa"/>
          </w:tcPr>
          <w:p w:rsidR="00E77B3C" w:rsidRDefault="00E77B3C">
            <w:pPr>
              <w:pStyle w:val="ConsPlusNormal"/>
              <w:jc w:val="center"/>
            </w:pPr>
            <w:r>
              <w:t>1.2</w:t>
            </w:r>
          </w:p>
        </w:tc>
        <w:tc>
          <w:tcPr>
            <w:tcW w:w="4706" w:type="dxa"/>
          </w:tcPr>
          <w:p w:rsidR="00E77B3C" w:rsidRDefault="00E77B3C">
            <w:pPr>
              <w:pStyle w:val="ConsPlusNormal"/>
              <w:jc w:val="both"/>
            </w:pPr>
            <w:r>
              <w:t>Вишня птичья</w:t>
            </w:r>
          </w:p>
        </w:tc>
        <w:tc>
          <w:tcPr>
            <w:tcW w:w="1984" w:type="dxa"/>
          </w:tcPr>
          <w:p w:rsidR="00E77B3C" w:rsidRDefault="00E77B3C">
            <w:pPr>
              <w:pStyle w:val="ConsPlusNormal"/>
              <w:jc w:val="both"/>
            </w:pPr>
            <w:r>
              <w:t>до 2 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1.3</w:t>
            </w:r>
          </w:p>
        </w:tc>
        <w:tc>
          <w:tcPr>
            <w:tcW w:w="4706" w:type="dxa"/>
          </w:tcPr>
          <w:p w:rsidR="00E77B3C" w:rsidRDefault="00E77B3C">
            <w:pPr>
              <w:pStyle w:val="ConsPlusNormal"/>
              <w:jc w:val="both"/>
            </w:pPr>
            <w:r>
              <w:t>Вяз шершавый</w:t>
            </w:r>
          </w:p>
        </w:tc>
        <w:tc>
          <w:tcPr>
            <w:tcW w:w="1984" w:type="dxa"/>
          </w:tcPr>
          <w:p w:rsidR="00E77B3C" w:rsidRDefault="00E77B3C">
            <w:pPr>
              <w:pStyle w:val="ConsPlusNormal"/>
              <w:jc w:val="both"/>
            </w:pPr>
            <w:r>
              <w:t>до 2 м</w:t>
            </w:r>
          </w:p>
        </w:tc>
        <w:tc>
          <w:tcPr>
            <w:tcW w:w="1500" w:type="dxa"/>
          </w:tcPr>
          <w:p w:rsidR="00E77B3C" w:rsidRDefault="00E77B3C">
            <w:pPr>
              <w:pStyle w:val="ConsPlusNormal"/>
              <w:jc w:val="center"/>
            </w:pPr>
            <w:r>
              <w:t>186,44</w:t>
            </w:r>
          </w:p>
        </w:tc>
      </w:tr>
      <w:tr w:rsidR="00E77B3C">
        <w:tc>
          <w:tcPr>
            <w:tcW w:w="680" w:type="dxa"/>
          </w:tcPr>
          <w:p w:rsidR="00E77B3C" w:rsidRDefault="00E77B3C">
            <w:pPr>
              <w:pStyle w:val="ConsPlusNormal"/>
              <w:jc w:val="center"/>
            </w:pPr>
            <w:r>
              <w:t>1.4</w:t>
            </w:r>
          </w:p>
        </w:tc>
        <w:tc>
          <w:tcPr>
            <w:tcW w:w="4706" w:type="dxa"/>
          </w:tcPr>
          <w:p w:rsidR="00E77B3C" w:rsidRDefault="00E77B3C">
            <w:pPr>
              <w:pStyle w:val="ConsPlusNormal"/>
              <w:jc w:val="both"/>
            </w:pPr>
            <w:r>
              <w:t>Груша лесная</w:t>
            </w:r>
          </w:p>
        </w:tc>
        <w:tc>
          <w:tcPr>
            <w:tcW w:w="1984" w:type="dxa"/>
          </w:tcPr>
          <w:p w:rsidR="00E77B3C" w:rsidRDefault="00E77B3C">
            <w:pPr>
              <w:pStyle w:val="ConsPlusNormal"/>
              <w:jc w:val="both"/>
            </w:pPr>
            <w:r>
              <w:t>до 2 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1.5</w:t>
            </w:r>
          </w:p>
        </w:tc>
        <w:tc>
          <w:tcPr>
            <w:tcW w:w="4706" w:type="dxa"/>
          </w:tcPr>
          <w:p w:rsidR="00E77B3C" w:rsidRDefault="00E77B3C">
            <w:pPr>
              <w:pStyle w:val="ConsPlusNormal"/>
              <w:jc w:val="both"/>
            </w:pPr>
            <w:r>
              <w:t xml:space="preserve">Дуб </w:t>
            </w:r>
            <w:proofErr w:type="spellStart"/>
            <w:r>
              <w:t>краснолистный</w:t>
            </w:r>
            <w:proofErr w:type="spellEnd"/>
          </w:p>
        </w:tc>
        <w:tc>
          <w:tcPr>
            <w:tcW w:w="1984" w:type="dxa"/>
          </w:tcPr>
          <w:p w:rsidR="00E77B3C" w:rsidRDefault="00E77B3C">
            <w:pPr>
              <w:pStyle w:val="ConsPlusNormal"/>
              <w:jc w:val="both"/>
            </w:pPr>
            <w:r>
              <w:t>более 2 м</w:t>
            </w:r>
          </w:p>
        </w:tc>
        <w:tc>
          <w:tcPr>
            <w:tcW w:w="1500" w:type="dxa"/>
          </w:tcPr>
          <w:p w:rsidR="00E77B3C" w:rsidRDefault="00E77B3C">
            <w:pPr>
              <w:pStyle w:val="ConsPlusNormal"/>
              <w:jc w:val="center"/>
            </w:pPr>
            <w:r>
              <w:t>406,78</w:t>
            </w:r>
          </w:p>
        </w:tc>
      </w:tr>
      <w:tr w:rsidR="00E77B3C">
        <w:tc>
          <w:tcPr>
            <w:tcW w:w="680" w:type="dxa"/>
          </w:tcPr>
          <w:p w:rsidR="00E77B3C" w:rsidRDefault="00E77B3C">
            <w:pPr>
              <w:pStyle w:val="ConsPlusNormal"/>
              <w:jc w:val="center"/>
            </w:pPr>
            <w:r>
              <w:t>1.6</w:t>
            </w:r>
          </w:p>
        </w:tc>
        <w:tc>
          <w:tcPr>
            <w:tcW w:w="4706" w:type="dxa"/>
          </w:tcPr>
          <w:p w:rsidR="00E77B3C" w:rsidRDefault="00E77B3C">
            <w:pPr>
              <w:pStyle w:val="ConsPlusNormal"/>
              <w:jc w:val="both"/>
            </w:pPr>
            <w:r>
              <w:t>Дуб обыкновенный (</w:t>
            </w:r>
            <w:proofErr w:type="spellStart"/>
            <w:r>
              <w:t>черешчатый</w:t>
            </w:r>
            <w:proofErr w:type="spellEnd"/>
            <w:r>
              <w:t>)</w:t>
            </w:r>
          </w:p>
        </w:tc>
        <w:tc>
          <w:tcPr>
            <w:tcW w:w="1984" w:type="dxa"/>
          </w:tcPr>
          <w:p w:rsidR="00E77B3C" w:rsidRDefault="00E77B3C">
            <w:pPr>
              <w:pStyle w:val="ConsPlusNormal"/>
              <w:jc w:val="both"/>
            </w:pPr>
            <w:r>
              <w:t>более 2 м</w:t>
            </w:r>
          </w:p>
        </w:tc>
        <w:tc>
          <w:tcPr>
            <w:tcW w:w="1500" w:type="dxa"/>
          </w:tcPr>
          <w:p w:rsidR="00E77B3C" w:rsidRDefault="00E77B3C">
            <w:pPr>
              <w:pStyle w:val="ConsPlusNormal"/>
              <w:jc w:val="center"/>
            </w:pPr>
            <w:r>
              <w:t>355,93</w:t>
            </w:r>
          </w:p>
        </w:tc>
      </w:tr>
      <w:tr w:rsidR="00E77B3C">
        <w:tc>
          <w:tcPr>
            <w:tcW w:w="680" w:type="dxa"/>
          </w:tcPr>
          <w:p w:rsidR="00E77B3C" w:rsidRDefault="00E77B3C">
            <w:pPr>
              <w:pStyle w:val="ConsPlusNormal"/>
              <w:jc w:val="center"/>
            </w:pPr>
            <w:r>
              <w:t>1.7</w:t>
            </w:r>
          </w:p>
        </w:tc>
        <w:tc>
          <w:tcPr>
            <w:tcW w:w="4706" w:type="dxa"/>
          </w:tcPr>
          <w:p w:rsidR="00E77B3C" w:rsidRDefault="00E77B3C">
            <w:pPr>
              <w:pStyle w:val="ConsPlusNormal"/>
              <w:jc w:val="both"/>
            </w:pPr>
            <w:r>
              <w:t>Ива плакучая</w:t>
            </w:r>
          </w:p>
        </w:tc>
        <w:tc>
          <w:tcPr>
            <w:tcW w:w="1984" w:type="dxa"/>
          </w:tcPr>
          <w:p w:rsidR="00E77B3C" w:rsidRDefault="00E77B3C">
            <w:pPr>
              <w:pStyle w:val="ConsPlusNormal"/>
              <w:jc w:val="both"/>
            </w:pPr>
            <w:r>
              <w:t>более 2 м</w:t>
            </w:r>
          </w:p>
        </w:tc>
        <w:tc>
          <w:tcPr>
            <w:tcW w:w="1500" w:type="dxa"/>
          </w:tcPr>
          <w:p w:rsidR="00E77B3C" w:rsidRDefault="00E77B3C">
            <w:pPr>
              <w:pStyle w:val="ConsPlusNormal"/>
              <w:jc w:val="center"/>
            </w:pPr>
            <w:r>
              <w:t>355,93</w:t>
            </w:r>
          </w:p>
        </w:tc>
      </w:tr>
      <w:tr w:rsidR="00E77B3C">
        <w:tc>
          <w:tcPr>
            <w:tcW w:w="680" w:type="dxa"/>
          </w:tcPr>
          <w:p w:rsidR="00E77B3C" w:rsidRDefault="00E77B3C">
            <w:pPr>
              <w:pStyle w:val="ConsPlusNormal"/>
              <w:jc w:val="center"/>
            </w:pPr>
            <w:r>
              <w:t>1.8</w:t>
            </w:r>
          </w:p>
        </w:tc>
        <w:tc>
          <w:tcPr>
            <w:tcW w:w="4706" w:type="dxa"/>
          </w:tcPr>
          <w:p w:rsidR="00E77B3C" w:rsidRDefault="00E77B3C">
            <w:pPr>
              <w:pStyle w:val="ConsPlusNormal"/>
              <w:jc w:val="both"/>
            </w:pPr>
            <w:r>
              <w:t>Ирга круглолистная</w:t>
            </w:r>
          </w:p>
        </w:tc>
        <w:tc>
          <w:tcPr>
            <w:tcW w:w="1984" w:type="dxa"/>
          </w:tcPr>
          <w:p w:rsidR="00E77B3C" w:rsidRDefault="00E77B3C">
            <w:pPr>
              <w:pStyle w:val="ConsPlusNormal"/>
              <w:jc w:val="both"/>
            </w:pPr>
            <w:r>
              <w:t>до 2 м</w:t>
            </w:r>
          </w:p>
        </w:tc>
        <w:tc>
          <w:tcPr>
            <w:tcW w:w="1500" w:type="dxa"/>
          </w:tcPr>
          <w:p w:rsidR="00E77B3C" w:rsidRDefault="00E77B3C">
            <w:pPr>
              <w:pStyle w:val="ConsPlusNormal"/>
              <w:jc w:val="center"/>
            </w:pPr>
            <w:r>
              <w:t>186,44</w:t>
            </w:r>
          </w:p>
        </w:tc>
      </w:tr>
      <w:tr w:rsidR="00E77B3C">
        <w:tc>
          <w:tcPr>
            <w:tcW w:w="680" w:type="dxa"/>
          </w:tcPr>
          <w:p w:rsidR="00E77B3C" w:rsidRDefault="00E77B3C">
            <w:pPr>
              <w:pStyle w:val="ConsPlusNormal"/>
              <w:jc w:val="center"/>
            </w:pPr>
            <w:r>
              <w:t>1.9</w:t>
            </w:r>
          </w:p>
        </w:tc>
        <w:tc>
          <w:tcPr>
            <w:tcW w:w="4706" w:type="dxa"/>
          </w:tcPr>
          <w:p w:rsidR="00E77B3C" w:rsidRDefault="00E77B3C">
            <w:pPr>
              <w:pStyle w:val="ConsPlusNormal"/>
              <w:jc w:val="both"/>
            </w:pPr>
            <w:r>
              <w:t>Каштан конский</w:t>
            </w:r>
          </w:p>
        </w:tc>
        <w:tc>
          <w:tcPr>
            <w:tcW w:w="1984" w:type="dxa"/>
          </w:tcPr>
          <w:p w:rsidR="00E77B3C" w:rsidRDefault="00E77B3C">
            <w:pPr>
              <w:pStyle w:val="ConsPlusNormal"/>
              <w:jc w:val="both"/>
            </w:pPr>
            <w:r>
              <w:t>более 0,6 м</w:t>
            </w:r>
          </w:p>
        </w:tc>
        <w:tc>
          <w:tcPr>
            <w:tcW w:w="1500" w:type="dxa"/>
          </w:tcPr>
          <w:p w:rsidR="00E77B3C" w:rsidRDefault="00E77B3C">
            <w:pPr>
              <w:pStyle w:val="ConsPlusNormal"/>
              <w:jc w:val="center"/>
            </w:pPr>
            <w:r>
              <w:t>533,90</w:t>
            </w:r>
          </w:p>
        </w:tc>
      </w:tr>
      <w:tr w:rsidR="00E77B3C">
        <w:tc>
          <w:tcPr>
            <w:tcW w:w="680" w:type="dxa"/>
          </w:tcPr>
          <w:p w:rsidR="00E77B3C" w:rsidRDefault="00E77B3C">
            <w:pPr>
              <w:pStyle w:val="ConsPlusNormal"/>
              <w:jc w:val="center"/>
            </w:pPr>
            <w:r>
              <w:t>1.10</w:t>
            </w:r>
          </w:p>
        </w:tc>
        <w:tc>
          <w:tcPr>
            <w:tcW w:w="4706" w:type="dxa"/>
          </w:tcPr>
          <w:p w:rsidR="00E77B3C" w:rsidRDefault="00E77B3C">
            <w:pPr>
              <w:pStyle w:val="ConsPlusNormal"/>
              <w:jc w:val="both"/>
            </w:pPr>
            <w:r>
              <w:t>Клен остролистный</w:t>
            </w:r>
          </w:p>
        </w:tc>
        <w:tc>
          <w:tcPr>
            <w:tcW w:w="1984" w:type="dxa"/>
          </w:tcPr>
          <w:p w:rsidR="00E77B3C" w:rsidRDefault="00E77B3C">
            <w:pPr>
              <w:pStyle w:val="ConsPlusNormal"/>
              <w:jc w:val="both"/>
            </w:pPr>
            <w:r>
              <w:t>более 2 м</w:t>
            </w:r>
          </w:p>
        </w:tc>
        <w:tc>
          <w:tcPr>
            <w:tcW w:w="1500" w:type="dxa"/>
          </w:tcPr>
          <w:p w:rsidR="00E77B3C" w:rsidRDefault="00E77B3C">
            <w:pPr>
              <w:pStyle w:val="ConsPlusNormal"/>
              <w:jc w:val="center"/>
            </w:pPr>
            <w:r>
              <w:t>266,95</w:t>
            </w:r>
          </w:p>
        </w:tc>
      </w:tr>
      <w:tr w:rsidR="00E77B3C">
        <w:tc>
          <w:tcPr>
            <w:tcW w:w="680" w:type="dxa"/>
          </w:tcPr>
          <w:p w:rsidR="00E77B3C" w:rsidRDefault="00E77B3C">
            <w:pPr>
              <w:pStyle w:val="ConsPlusNormal"/>
              <w:jc w:val="center"/>
            </w:pPr>
            <w:r>
              <w:t>1.11</w:t>
            </w:r>
          </w:p>
        </w:tc>
        <w:tc>
          <w:tcPr>
            <w:tcW w:w="4706" w:type="dxa"/>
          </w:tcPr>
          <w:p w:rsidR="00E77B3C" w:rsidRDefault="00E77B3C">
            <w:pPr>
              <w:pStyle w:val="ConsPlusNormal"/>
              <w:jc w:val="both"/>
            </w:pPr>
            <w:r>
              <w:t>Липа мелколистная</w:t>
            </w:r>
          </w:p>
        </w:tc>
        <w:tc>
          <w:tcPr>
            <w:tcW w:w="1984" w:type="dxa"/>
          </w:tcPr>
          <w:p w:rsidR="00E77B3C" w:rsidRDefault="00E77B3C">
            <w:pPr>
              <w:pStyle w:val="ConsPlusNormal"/>
              <w:jc w:val="both"/>
            </w:pPr>
            <w:r>
              <w:t>более 2 м</w:t>
            </w:r>
          </w:p>
        </w:tc>
        <w:tc>
          <w:tcPr>
            <w:tcW w:w="1500" w:type="dxa"/>
          </w:tcPr>
          <w:p w:rsidR="00E77B3C" w:rsidRDefault="00E77B3C">
            <w:pPr>
              <w:pStyle w:val="ConsPlusNormal"/>
              <w:jc w:val="center"/>
            </w:pPr>
            <w:r>
              <w:t>305,08</w:t>
            </w:r>
          </w:p>
        </w:tc>
      </w:tr>
      <w:tr w:rsidR="00E77B3C">
        <w:tc>
          <w:tcPr>
            <w:tcW w:w="680" w:type="dxa"/>
          </w:tcPr>
          <w:p w:rsidR="00E77B3C" w:rsidRDefault="00E77B3C">
            <w:pPr>
              <w:pStyle w:val="ConsPlusNormal"/>
              <w:jc w:val="center"/>
            </w:pPr>
            <w:r>
              <w:t>1.12</w:t>
            </w:r>
          </w:p>
        </w:tc>
        <w:tc>
          <w:tcPr>
            <w:tcW w:w="4706" w:type="dxa"/>
          </w:tcPr>
          <w:p w:rsidR="00E77B3C" w:rsidRDefault="00E77B3C">
            <w:pPr>
              <w:pStyle w:val="ConsPlusNormal"/>
              <w:jc w:val="both"/>
            </w:pPr>
            <w:r>
              <w:t>Лох серебристый</w:t>
            </w:r>
          </w:p>
        </w:tc>
        <w:tc>
          <w:tcPr>
            <w:tcW w:w="1984" w:type="dxa"/>
          </w:tcPr>
          <w:p w:rsidR="00E77B3C" w:rsidRDefault="00E77B3C">
            <w:pPr>
              <w:pStyle w:val="ConsPlusNormal"/>
              <w:jc w:val="both"/>
            </w:pPr>
            <w:r>
              <w:t>от 1 до 2 м</w:t>
            </w:r>
          </w:p>
        </w:tc>
        <w:tc>
          <w:tcPr>
            <w:tcW w:w="1500" w:type="dxa"/>
          </w:tcPr>
          <w:p w:rsidR="00E77B3C" w:rsidRDefault="00E77B3C">
            <w:pPr>
              <w:pStyle w:val="ConsPlusNormal"/>
              <w:jc w:val="center"/>
            </w:pPr>
            <w:r>
              <w:t>237,29</w:t>
            </w:r>
          </w:p>
        </w:tc>
      </w:tr>
      <w:tr w:rsidR="00E77B3C">
        <w:tc>
          <w:tcPr>
            <w:tcW w:w="680" w:type="dxa"/>
          </w:tcPr>
          <w:p w:rsidR="00E77B3C" w:rsidRDefault="00E77B3C">
            <w:pPr>
              <w:pStyle w:val="ConsPlusNormal"/>
              <w:jc w:val="center"/>
            </w:pPr>
            <w:r>
              <w:t>1.13</w:t>
            </w:r>
          </w:p>
        </w:tc>
        <w:tc>
          <w:tcPr>
            <w:tcW w:w="4706" w:type="dxa"/>
          </w:tcPr>
          <w:p w:rsidR="00E77B3C" w:rsidRDefault="00E77B3C">
            <w:pPr>
              <w:pStyle w:val="ConsPlusNormal"/>
              <w:jc w:val="both"/>
            </w:pPr>
            <w:r>
              <w:t>Рябина обыкновенная</w:t>
            </w:r>
          </w:p>
        </w:tc>
        <w:tc>
          <w:tcPr>
            <w:tcW w:w="1984" w:type="dxa"/>
          </w:tcPr>
          <w:p w:rsidR="00E77B3C" w:rsidRDefault="00E77B3C">
            <w:pPr>
              <w:pStyle w:val="ConsPlusNormal"/>
              <w:jc w:val="both"/>
            </w:pPr>
            <w:r>
              <w:t>от 1 до 2 м</w:t>
            </w:r>
          </w:p>
        </w:tc>
        <w:tc>
          <w:tcPr>
            <w:tcW w:w="1500" w:type="dxa"/>
          </w:tcPr>
          <w:p w:rsidR="00E77B3C" w:rsidRDefault="00E77B3C">
            <w:pPr>
              <w:pStyle w:val="ConsPlusNormal"/>
              <w:jc w:val="center"/>
            </w:pPr>
            <w:r>
              <w:t>194,92</w:t>
            </w:r>
          </w:p>
        </w:tc>
      </w:tr>
      <w:tr w:rsidR="00E77B3C">
        <w:tc>
          <w:tcPr>
            <w:tcW w:w="680" w:type="dxa"/>
          </w:tcPr>
          <w:p w:rsidR="00E77B3C" w:rsidRDefault="00E77B3C">
            <w:pPr>
              <w:pStyle w:val="ConsPlusNormal"/>
              <w:jc w:val="center"/>
            </w:pPr>
            <w:r>
              <w:t>1.14</w:t>
            </w:r>
          </w:p>
        </w:tc>
        <w:tc>
          <w:tcPr>
            <w:tcW w:w="4706" w:type="dxa"/>
          </w:tcPr>
          <w:p w:rsidR="00E77B3C" w:rsidRDefault="00E77B3C">
            <w:pPr>
              <w:pStyle w:val="ConsPlusNormal"/>
              <w:jc w:val="both"/>
            </w:pPr>
            <w:r>
              <w:t>Тополь пирамидальный</w:t>
            </w:r>
          </w:p>
        </w:tc>
        <w:tc>
          <w:tcPr>
            <w:tcW w:w="1984" w:type="dxa"/>
          </w:tcPr>
          <w:p w:rsidR="00E77B3C" w:rsidRDefault="00E77B3C">
            <w:pPr>
              <w:pStyle w:val="ConsPlusNormal"/>
              <w:jc w:val="both"/>
            </w:pPr>
            <w:r>
              <w:t>более 2 м</w:t>
            </w:r>
          </w:p>
        </w:tc>
        <w:tc>
          <w:tcPr>
            <w:tcW w:w="1500" w:type="dxa"/>
          </w:tcPr>
          <w:p w:rsidR="00E77B3C" w:rsidRDefault="00E77B3C">
            <w:pPr>
              <w:pStyle w:val="ConsPlusNormal"/>
              <w:jc w:val="center"/>
            </w:pPr>
            <w:r>
              <w:t>444,92</w:t>
            </w:r>
          </w:p>
        </w:tc>
      </w:tr>
      <w:tr w:rsidR="00E77B3C">
        <w:tc>
          <w:tcPr>
            <w:tcW w:w="680" w:type="dxa"/>
          </w:tcPr>
          <w:p w:rsidR="00E77B3C" w:rsidRDefault="00E77B3C">
            <w:pPr>
              <w:pStyle w:val="ConsPlusNormal"/>
              <w:jc w:val="center"/>
            </w:pPr>
            <w:r>
              <w:t>1.15</w:t>
            </w:r>
          </w:p>
        </w:tc>
        <w:tc>
          <w:tcPr>
            <w:tcW w:w="4706" w:type="dxa"/>
          </w:tcPr>
          <w:p w:rsidR="00E77B3C" w:rsidRDefault="00E77B3C">
            <w:pPr>
              <w:pStyle w:val="ConsPlusNormal"/>
              <w:jc w:val="both"/>
            </w:pPr>
            <w:r>
              <w:t>Тополь серебристый</w:t>
            </w:r>
          </w:p>
        </w:tc>
        <w:tc>
          <w:tcPr>
            <w:tcW w:w="1984" w:type="dxa"/>
          </w:tcPr>
          <w:p w:rsidR="00E77B3C" w:rsidRDefault="00E77B3C">
            <w:pPr>
              <w:pStyle w:val="ConsPlusNormal"/>
              <w:jc w:val="both"/>
            </w:pPr>
            <w:r>
              <w:t>более 2 м</w:t>
            </w:r>
          </w:p>
        </w:tc>
        <w:tc>
          <w:tcPr>
            <w:tcW w:w="1500" w:type="dxa"/>
          </w:tcPr>
          <w:p w:rsidR="00E77B3C" w:rsidRDefault="00E77B3C">
            <w:pPr>
              <w:pStyle w:val="ConsPlusNormal"/>
              <w:jc w:val="center"/>
            </w:pPr>
            <w:r>
              <w:t>444,92</w:t>
            </w:r>
          </w:p>
        </w:tc>
      </w:tr>
      <w:tr w:rsidR="00E77B3C">
        <w:tc>
          <w:tcPr>
            <w:tcW w:w="680" w:type="dxa"/>
          </w:tcPr>
          <w:p w:rsidR="00E77B3C" w:rsidRDefault="00E77B3C">
            <w:pPr>
              <w:pStyle w:val="ConsPlusNormal"/>
              <w:jc w:val="center"/>
            </w:pPr>
            <w:r>
              <w:t>1.16</w:t>
            </w:r>
          </w:p>
        </w:tc>
        <w:tc>
          <w:tcPr>
            <w:tcW w:w="4706" w:type="dxa"/>
          </w:tcPr>
          <w:p w:rsidR="00E77B3C" w:rsidRDefault="00E77B3C">
            <w:pPr>
              <w:pStyle w:val="ConsPlusNormal"/>
              <w:jc w:val="both"/>
            </w:pPr>
            <w:r>
              <w:t>Черемуха виргинская</w:t>
            </w:r>
          </w:p>
        </w:tc>
        <w:tc>
          <w:tcPr>
            <w:tcW w:w="1984" w:type="dxa"/>
          </w:tcPr>
          <w:p w:rsidR="00E77B3C" w:rsidRDefault="00E77B3C">
            <w:pPr>
              <w:pStyle w:val="ConsPlusNormal"/>
              <w:jc w:val="both"/>
            </w:pPr>
            <w:r>
              <w:t>до 2 м</w:t>
            </w:r>
          </w:p>
        </w:tc>
        <w:tc>
          <w:tcPr>
            <w:tcW w:w="1500" w:type="dxa"/>
          </w:tcPr>
          <w:p w:rsidR="00E77B3C" w:rsidRDefault="00E77B3C">
            <w:pPr>
              <w:pStyle w:val="ConsPlusNormal"/>
              <w:jc w:val="center"/>
            </w:pPr>
            <w:r>
              <w:t>186,44</w:t>
            </w:r>
          </w:p>
        </w:tc>
      </w:tr>
      <w:tr w:rsidR="00E77B3C">
        <w:tc>
          <w:tcPr>
            <w:tcW w:w="680" w:type="dxa"/>
          </w:tcPr>
          <w:p w:rsidR="00E77B3C" w:rsidRDefault="00E77B3C">
            <w:pPr>
              <w:pStyle w:val="ConsPlusNormal"/>
              <w:jc w:val="center"/>
            </w:pPr>
            <w:r>
              <w:t>1.17</w:t>
            </w:r>
          </w:p>
        </w:tc>
        <w:tc>
          <w:tcPr>
            <w:tcW w:w="4706" w:type="dxa"/>
          </w:tcPr>
          <w:p w:rsidR="00E77B3C" w:rsidRDefault="00E77B3C">
            <w:pPr>
              <w:pStyle w:val="ConsPlusNormal"/>
              <w:jc w:val="both"/>
            </w:pPr>
            <w:r>
              <w:t>Шелковица</w:t>
            </w:r>
          </w:p>
        </w:tc>
        <w:tc>
          <w:tcPr>
            <w:tcW w:w="1984" w:type="dxa"/>
          </w:tcPr>
          <w:p w:rsidR="00E77B3C" w:rsidRDefault="00E77B3C">
            <w:pPr>
              <w:pStyle w:val="ConsPlusNormal"/>
              <w:jc w:val="both"/>
            </w:pPr>
            <w:r>
              <w:t>до 1 м</w:t>
            </w:r>
          </w:p>
        </w:tc>
        <w:tc>
          <w:tcPr>
            <w:tcW w:w="1500" w:type="dxa"/>
          </w:tcPr>
          <w:p w:rsidR="00E77B3C" w:rsidRDefault="00E77B3C">
            <w:pPr>
              <w:pStyle w:val="ConsPlusNormal"/>
              <w:jc w:val="center"/>
            </w:pPr>
            <w:r>
              <w:t>186,44</w:t>
            </w:r>
          </w:p>
        </w:tc>
      </w:tr>
      <w:tr w:rsidR="00E77B3C">
        <w:tc>
          <w:tcPr>
            <w:tcW w:w="680" w:type="dxa"/>
          </w:tcPr>
          <w:p w:rsidR="00E77B3C" w:rsidRDefault="00E77B3C">
            <w:pPr>
              <w:pStyle w:val="ConsPlusNormal"/>
              <w:jc w:val="center"/>
            </w:pPr>
            <w:r>
              <w:t>1.18</w:t>
            </w:r>
          </w:p>
        </w:tc>
        <w:tc>
          <w:tcPr>
            <w:tcW w:w="4706" w:type="dxa"/>
          </w:tcPr>
          <w:p w:rsidR="00E77B3C" w:rsidRDefault="00E77B3C">
            <w:pPr>
              <w:pStyle w:val="ConsPlusNormal"/>
              <w:jc w:val="both"/>
            </w:pPr>
            <w:r>
              <w:t>Яблоня дикая</w:t>
            </w:r>
          </w:p>
        </w:tc>
        <w:tc>
          <w:tcPr>
            <w:tcW w:w="1984" w:type="dxa"/>
          </w:tcPr>
          <w:p w:rsidR="00E77B3C" w:rsidRDefault="00E77B3C">
            <w:pPr>
              <w:pStyle w:val="ConsPlusNormal"/>
              <w:jc w:val="both"/>
            </w:pPr>
            <w:r>
              <w:t>до 2 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1.19</w:t>
            </w:r>
          </w:p>
        </w:tc>
        <w:tc>
          <w:tcPr>
            <w:tcW w:w="4706" w:type="dxa"/>
          </w:tcPr>
          <w:p w:rsidR="00E77B3C" w:rsidRDefault="00E77B3C">
            <w:pPr>
              <w:pStyle w:val="ConsPlusNormal"/>
              <w:jc w:val="both"/>
            </w:pPr>
            <w:r>
              <w:t>Ясень обыкновенный</w:t>
            </w:r>
          </w:p>
        </w:tc>
        <w:tc>
          <w:tcPr>
            <w:tcW w:w="1984" w:type="dxa"/>
          </w:tcPr>
          <w:p w:rsidR="00E77B3C" w:rsidRDefault="00E77B3C">
            <w:pPr>
              <w:pStyle w:val="ConsPlusNormal"/>
              <w:jc w:val="both"/>
            </w:pPr>
            <w:r>
              <w:t>от 1 до 2 м</w:t>
            </w:r>
          </w:p>
        </w:tc>
        <w:tc>
          <w:tcPr>
            <w:tcW w:w="1500" w:type="dxa"/>
          </w:tcPr>
          <w:p w:rsidR="00E77B3C" w:rsidRDefault="00E77B3C">
            <w:pPr>
              <w:pStyle w:val="ConsPlusNormal"/>
              <w:jc w:val="center"/>
            </w:pPr>
            <w:r>
              <w:t>186,44</w:t>
            </w:r>
          </w:p>
        </w:tc>
      </w:tr>
      <w:tr w:rsidR="00E77B3C">
        <w:tc>
          <w:tcPr>
            <w:tcW w:w="680" w:type="dxa"/>
          </w:tcPr>
          <w:p w:rsidR="00E77B3C" w:rsidRDefault="00E77B3C">
            <w:pPr>
              <w:pStyle w:val="ConsPlusNormal"/>
              <w:jc w:val="center"/>
              <w:outlineLvl w:val="3"/>
            </w:pPr>
            <w:r>
              <w:t>2</w:t>
            </w:r>
          </w:p>
        </w:tc>
        <w:tc>
          <w:tcPr>
            <w:tcW w:w="4706" w:type="dxa"/>
          </w:tcPr>
          <w:p w:rsidR="00E77B3C" w:rsidRDefault="00E77B3C">
            <w:pPr>
              <w:pStyle w:val="ConsPlusNormal"/>
              <w:jc w:val="both"/>
            </w:pPr>
            <w:r>
              <w:t>Саженцы деревьев и кустарниковых хвойных пород</w:t>
            </w:r>
          </w:p>
        </w:tc>
        <w:tc>
          <w:tcPr>
            <w:tcW w:w="1984" w:type="dxa"/>
          </w:tcPr>
          <w:p w:rsidR="00E77B3C" w:rsidRDefault="00E77B3C">
            <w:pPr>
              <w:pStyle w:val="ConsPlusNormal"/>
            </w:pPr>
          </w:p>
        </w:tc>
        <w:tc>
          <w:tcPr>
            <w:tcW w:w="1500" w:type="dxa"/>
          </w:tcPr>
          <w:p w:rsidR="00E77B3C" w:rsidRDefault="00E77B3C">
            <w:pPr>
              <w:pStyle w:val="ConsPlusNormal"/>
            </w:pPr>
          </w:p>
        </w:tc>
      </w:tr>
      <w:tr w:rsidR="00E77B3C">
        <w:tc>
          <w:tcPr>
            <w:tcW w:w="680" w:type="dxa"/>
          </w:tcPr>
          <w:p w:rsidR="00E77B3C" w:rsidRDefault="00E77B3C">
            <w:pPr>
              <w:pStyle w:val="ConsPlusNormal"/>
              <w:jc w:val="center"/>
            </w:pPr>
            <w:r>
              <w:t>2.1</w:t>
            </w:r>
          </w:p>
        </w:tc>
        <w:tc>
          <w:tcPr>
            <w:tcW w:w="4706" w:type="dxa"/>
          </w:tcPr>
          <w:p w:rsidR="00E77B3C" w:rsidRDefault="00E77B3C">
            <w:pPr>
              <w:pStyle w:val="ConsPlusNormal"/>
              <w:jc w:val="both"/>
            </w:pPr>
            <w:r>
              <w:t xml:space="preserve">Ель </w:t>
            </w:r>
            <w:proofErr w:type="spellStart"/>
            <w:r>
              <w:t>голубая</w:t>
            </w:r>
            <w:proofErr w:type="spellEnd"/>
          </w:p>
        </w:tc>
        <w:tc>
          <w:tcPr>
            <w:tcW w:w="1984" w:type="dxa"/>
          </w:tcPr>
          <w:p w:rsidR="00E77B3C" w:rsidRDefault="00E77B3C">
            <w:pPr>
              <w:pStyle w:val="ConsPlusNormal"/>
              <w:jc w:val="both"/>
            </w:pPr>
            <w:r>
              <w:t>более 3 м</w:t>
            </w:r>
          </w:p>
        </w:tc>
        <w:tc>
          <w:tcPr>
            <w:tcW w:w="1500" w:type="dxa"/>
          </w:tcPr>
          <w:p w:rsidR="00E77B3C" w:rsidRDefault="00E77B3C">
            <w:pPr>
              <w:pStyle w:val="ConsPlusNormal"/>
              <w:jc w:val="center"/>
            </w:pPr>
            <w:r>
              <w:t>4 004,24</w:t>
            </w:r>
          </w:p>
        </w:tc>
      </w:tr>
      <w:tr w:rsidR="00E77B3C">
        <w:tc>
          <w:tcPr>
            <w:tcW w:w="680" w:type="dxa"/>
          </w:tcPr>
          <w:p w:rsidR="00E77B3C" w:rsidRDefault="00E77B3C">
            <w:pPr>
              <w:pStyle w:val="ConsPlusNormal"/>
              <w:jc w:val="center"/>
            </w:pPr>
            <w:r>
              <w:t>2.2</w:t>
            </w:r>
          </w:p>
        </w:tc>
        <w:tc>
          <w:tcPr>
            <w:tcW w:w="4706" w:type="dxa"/>
          </w:tcPr>
          <w:p w:rsidR="00E77B3C" w:rsidRDefault="00E77B3C">
            <w:pPr>
              <w:pStyle w:val="ConsPlusNormal"/>
              <w:jc w:val="both"/>
            </w:pPr>
            <w:r>
              <w:t>Ель колючая</w:t>
            </w:r>
          </w:p>
        </w:tc>
        <w:tc>
          <w:tcPr>
            <w:tcW w:w="1984" w:type="dxa"/>
          </w:tcPr>
          <w:p w:rsidR="00E77B3C" w:rsidRDefault="00E77B3C">
            <w:pPr>
              <w:pStyle w:val="ConsPlusNormal"/>
              <w:jc w:val="both"/>
            </w:pPr>
            <w:r>
              <w:t>более 3 м</w:t>
            </w:r>
          </w:p>
        </w:tc>
        <w:tc>
          <w:tcPr>
            <w:tcW w:w="1500" w:type="dxa"/>
          </w:tcPr>
          <w:p w:rsidR="00E77B3C" w:rsidRDefault="00E77B3C">
            <w:pPr>
              <w:pStyle w:val="ConsPlusNormal"/>
              <w:jc w:val="center"/>
            </w:pPr>
            <w:r>
              <w:t>2 966,10</w:t>
            </w:r>
          </w:p>
        </w:tc>
      </w:tr>
      <w:tr w:rsidR="00E77B3C">
        <w:tc>
          <w:tcPr>
            <w:tcW w:w="680" w:type="dxa"/>
          </w:tcPr>
          <w:p w:rsidR="00E77B3C" w:rsidRDefault="00E77B3C">
            <w:pPr>
              <w:pStyle w:val="ConsPlusNormal"/>
              <w:jc w:val="center"/>
            </w:pPr>
            <w:r>
              <w:t>2.3</w:t>
            </w:r>
          </w:p>
        </w:tc>
        <w:tc>
          <w:tcPr>
            <w:tcW w:w="4706" w:type="dxa"/>
          </w:tcPr>
          <w:p w:rsidR="00E77B3C" w:rsidRDefault="00E77B3C">
            <w:pPr>
              <w:pStyle w:val="ConsPlusNormal"/>
              <w:jc w:val="both"/>
            </w:pPr>
            <w:r>
              <w:t>Лиственница</w:t>
            </w:r>
          </w:p>
        </w:tc>
        <w:tc>
          <w:tcPr>
            <w:tcW w:w="1984" w:type="dxa"/>
          </w:tcPr>
          <w:p w:rsidR="00E77B3C" w:rsidRDefault="00E77B3C">
            <w:pPr>
              <w:pStyle w:val="ConsPlusNormal"/>
              <w:jc w:val="both"/>
            </w:pPr>
            <w:r>
              <w:t>более 2 м</w:t>
            </w:r>
          </w:p>
        </w:tc>
        <w:tc>
          <w:tcPr>
            <w:tcW w:w="1500" w:type="dxa"/>
          </w:tcPr>
          <w:p w:rsidR="00E77B3C" w:rsidRDefault="00E77B3C">
            <w:pPr>
              <w:pStyle w:val="ConsPlusNormal"/>
              <w:jc w:val="center"/>
            </w:pPr>
            <w:r>
              <w:t>932,20</w:t>
            </w:r>
          </w:p>
        </w:tc>
      </w:tr>
      <w:tr w:rsidR="00E77B3C">
        <w:tc>
          <w:tcPr>
            <w:tcW w:w="680" w:type="dxa"/>
          </w:tcPr>
          <w:p w:rsidR="00E77B3C" w:rsidRDefault="00E77B3C">
            <w:pPr>
              <w:pStyle w:val="ConsPlusNormal"/>
              <w:jc w:val="center"/>
            </w:pPr>
            <w:r>
              <w:t>2.4</w:t>
            </w:r>
          </w:p>
        </w:tc>
        <w:tc>
          <w:tcPr>
            <w:tcW w:w="4706" w:type="dxa"/>
          </w:tcPr>
          <w:p w:rsidR="00E77B3C" w:rsidRDefault="00E77B3C">
            <w:pPr>
              <w:pStyle w:val="ConsPlusNormal"/>
              <w:jc w:val="both"/>
            </w:pPr>
            <w:r>
              <w:t>Можжевельник казацкий</w:t>
            </w:r>
          </w:p>
        </w:tc>
        <w:tc>
          <w:tcPr>
            <w:tcW w:w="1984" w:type="dxa"/>
          </w:tcPr>
          <w:p w:rsidR="00E77B3C" w:rsidRDefault="00E77B3C">
            <w:pPr>
              <w:pStyle w:val="ConsPlusNormal"/>
              <w:jc w:val="both"/>
            </w:pPr>
            <w:r>
              <w:t>до 0,4 м</w:t>
            </w:r>
          </w:p>
        </w:tc>
        <w:tc>
          <w:tcPr>
            <w:tcW w:w="1500" w:type="dxa"/>
          </w:tcPr>
          <w:p w:rsidR="00E77B3C" w:rsidRDefault="00E77B3C">
            <w:pPr>
              <w:pStyle w:val="ConsPlusNormal"/>
              <w:jc w:val="center"/>
            </w:pPr>
            <w:r>
              <w:t>237,29</w:t>
            </w:r>
          </w:p>
        </w:tc>
      </w:tr>
      <w:tr w:rsidR="00E77B3C">
        <w:tc>
          <w:tcPr>
            <w:tcW w:w="680" w:type="dxa"/>
          </w:tcPr>
          <w:p w:rsidR="00E77B3C" w:rsidRDefault="00E77B3C">
            <w:pPr>
              <w:pStyle w:val="ConsPlusNormal"/>
              <w:jc w:val="center"/>
            </w:pPr>
            <w:r>
              <w:t>2.5</w:t>
            </w:r>
          </w:p>
        </w:tc>
        <w:tc>
          <w:tcPr>
            <w:tcW w:w="4706" w:type="dxa"/>
          </w:tcPr>
          <w:p w:rsidR="00E77B3C" w:rsidRDefault="00E77B3C">
            <w:pPr>
              <w:pStyle w:val="ConsPlusNormal"/>
              <w:jc w:val="both"/>
            </w:pPr>
            <w:r>
              <w:t>Можжевельник скальный</w:t>
            </w:r>
          </w:p>
        </w:tc>
        <w:tc>
          <w:tcPr>
            <w:tcW w:w="1984" w:type="dxa"/>
          </w:tcPr>
          <w:p w:rsidR="00E77B3C" w:rsidRDefault="00E77B3C">
            <w:pPr>
              <w:pStyle w:val="ConsPlusNormal"/>
              <w:jc w:val="both"/>
            </w:pPr>
            <w:r>
              <w:t>от 0,4 м до 1 м</w:t>
            </w:r>
          </w:p>
        </w:tc>
        <w:tc>
          <w:tcPr>
            <w:tcW w:w="1500" w:type="dxa"/>
          </w:tcPr>
          <w:p w:rsidR="00E77B3C" w:rsidRDefault="00E77B3C">
            <w:pPr>
              <w:pStyle w:val="ConsPlusNormal"/>
              <w:jc w:val="center"/>
            </w:pPr>
            <w:r>
              <w:t>593,22</w:t>
            </w:r>
          </w:p>
        </w:tc>
      </w:tr>
      <w:tr w:rsidR="00E77B3C">
        <w:tc>
          <w:tcPr>
            <w:tcW w:w="680" w:type="dxa"/>
          </w:tcPr>
          <w:p w:rsidR="00E77B3C" w:rsidRDefault="00E77B3C">
            <w:pPr>
              <w:pStyle w:val="ConsPlusNormal"/>
              <w:jc w:val="center"/>
            </w:pPr>
            <w:r>
              <w:t>2.6</w:t>
            </w:r>
          </w:p>
        </w:tc>
        <w:tc>
          <w:tcPr>
            <w:tcW w:w="4706" w:type="dxa"/>
          </w:tcPr>
          <w:p w:rsidR="00E77B3C" w:rsidRDefault="00E77B3C">
            <w:pPr>
              <w:pStyle w:val="ConsPlusNormal"/>
              <w:jc w:val="both"/>
            </w:pPr>
            <w:r>
              <w:t>Сосна обыкновенная</w:t>
            </w:r>
          </w:p>
        </w:tc>
        <w:tc>
          <w:tcPr>
            <w:tcW w:w="1984" w:type="dxa"/>
          </w:tcPr>
          <w:p w:rsidR="00E77B3C" w:rsidRDefault="00E77B3C">
            <w:pPr>
              <w:pStyle w:val="ConsPlusNormal"/>
              <w:jc w:val="both"/>
            </w:pPr>
            <w:r>
              <w:t>более 2 м</w:t>
            </w:r>
          </w:p>
        </w:tc>
        <w:tc>
          <w:tcPr>
            <w:tcW w:w="1500" w:type="dxa"/>
          </w:tcPr>
          <w:p w:rsidR="00E77B3C" w:rsidRDefault="00E77B3C">
            <w:pPr>
              <w:pStyle w:val="ConsPlusNormal"/>
              <w:jc w:val="center"/>
            </w:pPr>
            <w:r>
              <w:t>889,83</w:t>
            </w:r>
          </w:p>
        </w:tc>
      </w:tr>
      <w:tr w:rsidR="00E77B3C">
        <w:tc>
          <w:tcPr>
            <w:tcW w:w="680" w:type="dxa"/>
          </w:tcPr>
          <w:p w:rsidR="00E77B3C" w:rsidRDefault="00E77B3C">
            <w:pPr>
              <w:pStyle w:val="ConsPlusNormal"/>
              <w:jc w:val="center"/>
            </w:pPr>
            <w:r>
              <w:lastRenderedPageBreak/>
              <w:t>2.7</w:t>
            </w:r>
          </w:p>
        </w:tc>
        <w:tc>
          <w:tcPr>
            <w:tcW w:w="4706" w:type="dxa"/>
          </w:tcPr>
          <w:p w:rsidR="00E77B3C" w:rsidRDefault="00E77B3C">
            <w:pPr>
              <w:pStyle w:val="ConsPlusNormal"/>
              <w:jc w:val="both"/>
            </w:pPr>
            <w:r>
              <w:t>Туя западная</w:t>
            </w:r>
          </w:p>
        </w:tc>
        <w:tc>
          <w:tcPr>
            <w:tcW w:w="1984" w:type="dxa"/>
          </w:tcPr>
          <w:p w:rsidR="00E77B3C" w:rsidRDefault="00E77B3C">
            <w:pPr>
              <w:pStyle w:val="ConsPlusNormal"/>
              <w:jc w:val="both"/>
            </w:pPr>
            <w:r>
              <w:t>от 0,4 до 0,8 м</w:t>
            </w:r>
          </w:p>
        </w:tc>
        <w:tc>
          <w:tcPr>
            <w:tcW w:w="1500" w:type="dxa"/>
          </w:tcPr>
          <w:p w:rsidR="00E77B3C" w:rsidRDefault="00E77B3C">
            <w:pPr>
              <w:pStyle w:val="ConsPlusNormal"/>
              <w:jc w:val="center"/>
            </w:pPr>
            <w:r>
              <w:t>618,64</w:t>
            </w:r>
          </w:p>
        </w:tc>
      </w:tr>
      <w:tr w:rsidR="00E77B3C">
        <w:tc>
          <w:tcPr>
            <w:tcW w:w="680" w:type="dxa"/>
          </w:tcPr>
          <w:p w:rsidR="00E77B3C" w:rsidRDefault="00E77B3C">
            <w:pPr>
              <w:pStyle w:val="ConsPlusNormal"/>
              <w:jc w:val="center"/>
              <w:outlineLvl w:val="3"/>
            </w:pPr>
            <w:r>
              <w:t>3</w:t>
            </w:r>
          </w:p>
        </w:tc>
        <w:tc>
          <w:tcPr>
            <w:tcW w:w="4706" w:type="dxa"/>
          </w:tcPr>
          <w:p w:rsidR="00E77B3C" w:rsidRDefault="00E77B3C">
            <w:pPr>
              <w:pStyle w:val="ConsPlusNormal"/>
              <w:jc w:val="both"/>
            </w:pPr>
            <w:r>
              <w:t>Саженцы кустарников</w:t>
            </w:r>
          </w:p>
        </w:tc>
        <w:tc>
          <w:tcPr>
            <w:tcW w:w="1984" w:type="dxa"/>
          </w:tcPr>
          <w:p w:rsidR="00E77B3C" w:rsidRDefault="00E77B3C">
            <w:pPr>
              <w:pStyle w:val="ConsPlusNormal"/>
            </w:pPr>
          </w:p>
        </w:tc>
        <w:tc>
          <w:tcPr>
            <w:tcW w:w="1500" w:type="dxa"/>
          </w:tcPr>
          <w:p w:rsidR="00E77B3C" w:rsidRDefault="00E77B3C">
            <w:pPr>
              <w:pStyle w:val="ConsPlusNormal"/>
            </w:pPr>
          </w:p>
        </w:tc>
      </w:tr>
      <w:tr w:rsidR="00E77B3C">
        <w:tc>
          <w:tcPr>
            <w:tcW w:w="680" w:type="dxa"/>
          </w:tcPr>
          <w:p w:rsidR="00E77B3C" w:rsidRDefault="00E77B3C">
            <w:pPr>
              <w:pStyle w:val="ConsPlusNormal"/>
              <w:jc w:val="center"/>
            </w:pPr>
            <w:r>
              <w:t>3.1</w:t>
            </w:r>
          </w:p>
        </w:tc>
        <w:tc>
          <w:tcPr>
            <w:tcW w:w="4706" w:type="dxa"/>
          </w:tcPr>
          <w:p w:rsidR="00E77B3C" w:rsidRDefault="00E77B3C">
            <w:pPr>
              <w:pStyle w:val="ConsPlusNormal"/>
              <w:jc w:val="both"/>
            </w:pPr>
            <w:r>
              <w:t>Айва японская</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3.2</w:t>
            </w:r>
          </w:p>
        </w:tc>
        <w:tc>
          <w:tcPr>
            <w:tcW w:w="4706" w:type="dxa"/>
          </w:tcPr>
          <w:p w:rsidR="00E77B3C" w:rsidRDefault="00E77B3C">
            <w:pPr>
              <w:pStyle w:val="ConsPlusNormal"/>
              <w:jc w:val="both"/>
            </w:pPr>
            <w:r>
              <w:t>Акация желтая</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161,02</w:t>
            </w:r>
          </w:p>
        </w:tc>
      </w:tr>
      <w:tr w:rsidR="00E77B3C">
        <w:tc>
          <w:tcPr>
            <w:tcW w:w="680" w:type="dxa"/>
          </w:tcPr>
          <w:p w:rsidR="00E77B3C" w:rsidRDefault="00E77B3C">
            <w:pPr>
              <w:pStyle w:val="ConsPlusNormal"/>
              <w:jc w:val="center"/>
            </w:pPr>
            <w:r>
              <w:t>3.3</w:t>
            </w:r>
          </w:p>
        </w:tc>
        <w:tc>
          <w:tcPr>
            <w:tcW w:w="4706" w:type="dxa"/>
          </w:tcPr>
          <w:p w:rsidR="00E77B3C" w:rsidRDefault="00E77B3C">
            <w:pPr>
              <w:pStyle w:val="ConsPlusNormal"/>
              <w:jc w:val="both"/>
            </w:pPr>
            <w:r>
              <w:t>Барбарис красный</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186,44</w:t>
            </w:r>
          </w:p>
        </w:tc>
      </w:tr>
      <w:tr w:rsidR="00E77B3C">
        <w:tc>
          <w:tcPr>
            <w:tcW w:w="680" w:type="dxa"/>
          </w:tcPr>
          <w:p w:rsidR="00E77B3C" w:rsidRDefault="00E77B3C">
            <w:pPr>
              <w:pStyle w:val="ConsPlusNormal"/>
              <w:jc w:val="center"/>
            </w:pPr>
            <w:r>
              <w:t>3.4</w:t>
            </w:r>
          </w:p>
        </w:tc>
        <w:tc>
          <w:tcPr>
            <w:tcW w:w="4706" w:type="dxa"/>
          </w:tcPr>
          <w:p w:rsidR="00E77B3C" w:rsidRDefault="00E77B3C">
            <w:pPr>
              <w:pStyle w:val="ConsPlusNormal"/>
              <w:jc w:val="both"/>
            </w:pPr>
            <w:r>
              <w:t>Бересклет</w:t>
            </w:r>
          </w:p>
        </w:tc>
        <w:tc>
          <w:tcPr>
            <w:tcW w:w="1984" w:type="dxa"/>
          </w:tcPr>
          <w:p w:rsidR="00E77B3C" w:rsidRDefault="00E77B3C">
            <w:pPr>
              <w:pStyle w:val="ConsPlusNormal"/>
              <w:jc w:val="both"/>
            </w:pPr>
            <w:r>
              <w:t>до 1,5 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3.5</w:t>
            </w:r>
          </w:p>
        </w:tc>
        <w:tc>
          <w:tcPr>
            <w:tcW w:w="4706" w:type="dxa"/>
          </w:tcPr>
          <w:p w:rsidR="00E77B3C" w:rsidRDefault="00E77B3C">
            <w:pPr>
              <w:pStyle w:val="ConsPlusNormal"/>
              <w:jc w:val="both"/>
            </w:pPr>
            <w:proofErr w:type="gramStart"/>
            <w:r>
              <w:t>Бирючина</w:t>
            </w:r>
            <w:proofErr w:type="gramEnd"/>
            <w:r>
              <w:t xml:space="preserve"> обыкновенная</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161,02</w:t>
            </w:r>
          </w:p>
        </w:tc>
      </w:tr>
      <w:tr w:rsidR="00E77B3C">
        <w:tc>
          <w:tcPr>
            <w:tcW w:w="680" w:type="dxa"/>
          </w:tcPr>
          <w:p w:rsidR="00E77B3C" w:rsidRDefault="00E77B3C">
            <w:pPr>
              <w:pStyle w:val="ConsPlusNormal"/>
              <w:jc w:val="center"/>
            </w:pPr>
            <w:r>
              <w:t>3.6</w:t>
            </w:r>
          </w:p>
        </w:tc>
        <w:tc>
          <w:tcPr>
            <w:tcW w:w="4706" w:type="dxa"/>
          </w:tcPr>
          <w:p w:rsidR="00E77B3C" w:rsidRDefault="00E77B3C">
            <w:pPr>
              <w:pStyle w:val="ConsPlusNormal"/>
              <w:jc w:val="both"/>
            </w:pPr>
            <w:r>
              <w:t>Боярышник кроваво-красный</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144,07</w:t>
            </w:r>
          </w:p>
        </w:tc>
      </w:tr>
      <w:tr w:rsidR="00E77B3C">
        <w:tc>
          <w:tcPr>
            <w:tcW w:w="680" w:type="dxa"/>
          </w:tcPr>
          <w:p w:rsidR="00E77B3C" w:rsidRDefault="00E77B3C">
            <w:pPr>
              <w:pStyle w:val="ConsPlusNormal"/>
              <w:jc w:val="center"/>
            </w:pPr>
            <w:r>
              <w:t>3.7</w:t>
            </w:r>
          </w:p>
        </w:tc>
        <w:tc>
          <w:tcPr>
            <w:tcW w:w="4706" w:type="dxa"/>
          </w:tcPr>
          <w:p w:rsidR="00E77B3C" w:rsidRDefault="00E77B3C">
            <w:pPr>
              <w:pStyle w:val="ConsPlusNormal"/>
              <w:jc w:val="both"/>
            </w:pPr>
            <w:r>
              <w:t>Боярышник садовый</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161,02</w:t>
            </w:r>
          </w:p>
        </w:tc>
      </w:tr>
      <w:tr w:rsidR="00E77B3C">
        <w:tc>
          <w:tcPr>
            <w:tcW w:w="680" w:type="dxa"/>
          </w:tcPr>
          <w:p w:rsidR="00E77B3C" w:rsidRDefault="00E77B3C">
            <w:pPr>
              <w:pStyle w:val="ConsPlusNormal"/>
              <w:jc w:val="center"/>
            </w:pPr>
            <w:r>
              <w:t>3.8</w:t>
            </w:r>
          </w:p>
        </w:tc>
        <w:tc>
          <w:tcPr>
            <w:tcW w:w="4706" w:type="dxa"/>
          </w:tcPr>
          <w:p w:rsidR="00E77B3C" w:rsidRDefault="00E77B3C">
            <w:pPr>
              <w:pStyle w:val="ConsPlusNormal"/>
              <w:jc w:val="both"/>
            </w:pPr>
            <w:r>
              <w:t>Гортензия крупнолистная</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3.9</w:t>
            </w:r>
          </w:p>
        </w:tc>
        <w:tc>
          <w:tcPr>
            <w:tcW w:w="4706" w:type="dxa"/>
          </w:tcPr>
          <w:p w:rsidR="00E77B3C" w:rsidRDefault="00E77B3C">
            <w:pPr>
              <w:pStyle w:val="ConsPlusNormal"/>
              <w:jc w:val="both"/>
            </w:pPr>
            <w:r>
              <w:t>Дерен красный</w:t>
            </w:r>
          </w:p>
        </w:tc>
        <w:tc>
          <w:tcPr>
            <w:tcW w:w="1984" w:type="dxa"/>
          </w:tcPr>
          <w:p w:rsidR="00E77B3C" w:rsidRDefault="00E77B3C">
            <w:pPr>
              <w:pStyle w:val="ConsPlusNormal"/>
              <w:jc w:val="both"/>
            </w:pPr>
            <w:r>
              <w:t>до 80 см</w:t>
            </w:r>
          </w:p>
        </w:tc>
        <w:tc>
          <w:tcPr>
            <w:tcW w:w="1500" w:type="dxa"/>
          </w:tcPr>
          <w:p w:rsidR="00E77B3C" w:rsidRDefault="00E77B3C">
            <w:pPr>
              <w:pStyle w:val="ConsPlusNormal"/>
              <w:jc w:val="center"/>
            </w:pPr>
            <w:r>
              <w:t>186,44</w:t>
            </w:r>
          </w:p>
        </w:tc>
      </w:tr>
      <w:tr w:rsidR="00E77B3C">
        <w:tc>
          <w:tcPr>
            <w:tcW w:w="680" w:type="dxa"/>
          </w:tcPr>
          <w:p w:rsidR="00E77B3C" w:rsidRDefault="00E77B3C">
            <w:pPr>
              <w:pStyle w:val="ConsPlusNormal"/>
              <w:jc w:val="center"/>
            </w:pPr>
            <w:r>
              <w:t>3.10</w:t>
            </w:r>
          </w:p>
        </w:tc>
        <w:tc>
          <w:tcPr>
            <w:tcW w:w="4706" w:type="dxa"/>
          </w:tcPr>
          <w:p w:rsidR="00E77B3C" w:rsidRDefault="00E77B3C">
            <w:pPr>
              <w:pStyle w:val="ConsPlusNormal"/>
              <w:jc w:val="both"/>
            </w:pPr>
            <w:r>
              <w:t>Жасмин садовый</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186,44</w:t>
            </w:r>
          </w:p>
        </w:tc>
      </w:tr>
      <w:tr w:rsidR="00E77B3C">
        <w:tc>
          <w:tcPr>
            <w:tcW w:w="680" w:type="dxa"/>
          </w:tcPr>
          <w:p w:rsidR="00E77B3C" w:rsidRDefault="00E77B3C">
            <w:pPr>
              <w:pStyle w:val="ConsPlusNormal"/>
              <w:jc w:val="center"/>
            </w:pPr>
            <w:r>
              <w:t>3.11</w:t>
            </w:r>
          </w:p>
        </w:tc>
        <w:tc>
          <w:tcPr>
            <w:tcW w:w="4706" w:type="dxa"/>
          </w:tcPr>
          <w:p w:rsidR="00E77B3C" w:rsidRDefault="00E77B3C">
            <w:pPr>
              <w:pStyle w:val="ConsPlusNormal"/>
              <w:jc w:val="both"/>
            </w:pPr>
            <w:r>
              <w:t>Жимолость Каприфоль</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3.12</w:t>
            </w:r>
          </w:p>
        </w:tc>
        <w:tc>
          <w:tcPr>
            <w:tcW w:w="4706" w:type="dxa"/>
          </w:tcPr>
          <w:p w:rsidR="00E77B3C" w:rsidRDefault="00E77B3C">
            <w:pPr>
              <w:pStyle w:val="ConsPlusNormal"/>
              <w:jc w:val="both"/>
            </w:pPr>
            <w:r>
              <w:t>Жимолость татарская</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3.13</w:t>
            </w:r>
          </w:p>
        </w:tc>
        <w:tc>
          <w:tcPr>
            <w:tcW w:w="4706" w:type="dxa"/>
          </w:tcPr>
          <w:p w:rsidR="00E77B3C" w:rsidRDefault="00E77B3C">
            <w:pPr>
              <w:pStyle w:val="ConsPlusNormal"/>
              <w:jc w:val="both"/>
            </w:pPr>
            <w:r>
              <w:t>Калина красная</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3.14</w:t>
            </w:r>
          </w:p>
        </w:tc>
        <w:tc>
          <w:tcPr>
            <w:tcW w:w="4706" w:type="dxa"/>
          </w:tcPr>
          <w:p w:rsidR="00E77B3C" w:rsidRDefault="00E77B3C">
            <w:pPr>
              <w:pStyle w:val="ConsPlusNormal"/>
              <w:jc w:val="both"/>
            </w:pPr>
            <w:r>
              <w:t>Кизильник блестящий</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161,02</w:t>
            </w:r>
          </w:p>
        </w:tc>
      </w:tr>
      <w:tr w:rsidR="00E77B3C">
        <w:tc>
          <w:tcPr>
            <w:tcW w:w="680" w:type="dxa"/>
          </w:tcPr>
          <w:p w:rsidR="00E77B3C" w:rsidRDefault="00E77B3C">
            <w:pPr>
              <w:pStyle w:val="ConsPlusNormal"/>
              <w:jc w:val="center"/>
            </w:pPr>
            <w:r>
              <w:t>3.15</w:t>
            </w:r>
          </w:p>
        </w:tc>
        <w:tc>
          <w:tcPr>
            <w:tcW w:w="4706" w:type="dxa"/>
          </w:tcPr>
          <w:p w:rsidR="00E77B3C" w:rsidRDefault="00E77B3C">
            <w:pPr>
              <w:pStyle w:val="ConsPlusNormal"/>
              <w:jc w:val="both"/>
            </w:pPr>
            <w:r>
              <w:t>Лапчатка кустарниковая</w:t>
            </w:r>
          </w:p>
        </w:tc>
        <w:tc>
          <w:tcPr>
            <w:tcW w:w="1984" w:type="dxa"/>
          </w:tcPr>
          <w:p w:rsidR="00E77B3C" w:rsidRDefault="00E77B3C">
            <w:pPr>
              <w:pStyle w:val="ConsPlusNormal"/>
              <w:jc w:val="both"/>
            </w:pPr>
            <w:r>
              <w:t>до 40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3.16</w:t>
            </w:r>
          </w:p>
        </w:tc>
        <w:tc>
          <w:tcPr>
            <w:tcW w:w="4706" w:type="dxa"/>
          </w:tcPr>
          <w:p w:rsidR="00E77B3C" w:rsidRDefault="00E77B3C">
            <w:pPr>
              <w:pStyle w:val="ConsPlusNormal"/>
              <w:jc w:val="both"/>
            </w:pPr>
            <w:proofErr w:type="spellStart"/>
            <w:r>
              <w:t>Магония</w:t>
            </w:r>
            <w:proofErr w:type="spellEnd"/>
            <w:r>
              <w:t xml:space="preserve"> </w:t>
            </w:r>
            <w:proofErr w:type="spellStart"/>
            <w:r>
              <w:t>падуболистная</w:t>
            </w:r>
            <w:proofErr w:type="spellEnd"/>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237,29</w:t>
            </w:r>
          </w:p>
        </w:tc>
      </w:tr>
      <w:tr w:rsidR="00E77B3C">
        <w:tc>
          <w:tcPr>
            <w:tcW w:w="680" w:type="dxa"/>
          </w:tcPr>
          <w:p w:rsidR="00E77B3C" w:rsidRDefault="00E77B3C">
            <w:pPr>
              <w:pStyle w:val="ConsPlusNormal"/>
              <w:jc w:val="center"/>
            </w:pPr>
            <w:r>
              <w:t>3.17</w:t>
            </w:r>
          </w:p>
        </w:tc>
        <w:tc>
          <w:tcPr>
            <w:tcW w:w="4706" w:type="dxa"/>
          </w:tcPr>
          <w:p w:rsidR="00E77B3C" w:rsidRDefault="00E77B3C">
            <w:pPr>
              <w:pStyle w:val="ConsPlusNormal"/>
              <w:jc w:val="both"/>
            </w:pPr>
            <w:r>
              <w:t>Роза морщинистая (Ругоза)</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3.18</w:t>
            </w:r>
          </w:p>
        </w:tc>
        <w:tc>
          <w:tcPr>
            <w:tcW w:w="4706" w:type="dxa"/>
          </w:tcPr>
          <w:p w:rsidR="00E77B3C" w:rsidRDefault="00E77B3C">
            <w:pPr>
              <w:pStyle w:val="ConsPlusNormal"/>
              <w:jc w:val="both"/>
            </w:pPr>
            <w:r>
              <w:t>Рябина черноплодная</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220,34</w:t>
            </w:r>
          </w:p>
        </w:tc>
      </w:tr>
      <w:tr w:rsidR="00E77B3C">
        <w:tc>
          <w:tcPr>
            <w:tcW w:w="680" w:type="dxa"/>
          </w:tcPr>
          <w:p w:rsidR="00E77B3C" w:rsidRDefault="00E77B3C">
            <w:pPr>
              <w:pStyle w:val="ConsPlusNormal"/>
              <w:jc w:val="center"/>
            </w:pPr>
            <w:r>
              <w:t>3.19</w:t>
            </w:r>
          </w:p>
        </w:tc>
        <w:tc>
          <w:tcPr>
            <w:tcW w:w="4706" w:type="dxa"/>
          </w:tcPr>
          <w:p w:rsidR="00E77B3C" w:rsidRDefault="00E77B3C">
            <w:pPr>
              <w:pStyle w:val="ConsPlusNormal"/>
              <w:jc w:val="both"/>
            </w:pPr>
            <w:r>
              <w:t>Сирень обыкновенная</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3.20</w:t>
            </w:r>
          </w:p>
        </w:tc>
        <w:tc>
          <w:tcPr>
            <w:tcW w:w="4706" w:type="dxa"/>
          </w:tcPr>
          <w:p w:rsidR="00E77B3C" w:rsidRDefault="00E77B3C">
            <w:pPr>
              <w:pStyle w:val="ConsPlusNormal"/>
              <w:jc w:val="both"/>
            </w:pPr>
            <w:r>
              <w:t>Снежноягодник белый</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3.21</w:t>
            </w:r>
          </w:p>
        </w:tc>
        <w:tc>
          <w:tcPr>
            <w:tcW w:w="4706" w:type="dxa"/>
          </w:tcPr>
          <w:p w:rsidR="00E77B3C" w:rsidRDefault="00E77B3C">
            <w:pPr>
              <w:pStyle w:val="ConsPlusNormal"/>
              <w:jc w:val="both"/>
            </w:pPr>
            <w:r>
              <w:t xml:space="preserve">Спирея </w:t>
            </w:r>
            <w:proofErr w:type="spellStart"/>
            <w:r>
              <w:t>Билларда</w:t>
            </w:r>
            <w:proofErr w:type="spellEnd"/>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3.22</w:t>
            </w:r>
          </w:p>
        </w:tc>
        <w:tc>
          <w:tcPr>
            <w:tcW w:w="4706" w:type="dxa"/>
          </w:tcPr>
          <w:p w:rsidR="00E77B3C" w:rsidRDefault="00E77B3C">
            <w:pPr>
              <w:pStyle w:val="ConsPlusNormal"/>
              <w:jc w:val="both"/>
            </w:pPr>
            <w:r>
              <w:t xml:space="preserve">Спирея </w:t>
            </w:r>
            <w:proofErr w:type="spellStart"/>
            <w:r>
              <w:t>Вангутта</w:t>
            </w:r>
            <w:proofErr w:type="spellEnd"/>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3.23</w:t>
            </w:r>
          </w:p>
        </w:tc>
        <w:tc>
          <w:tcPr>
            <w:tcW w:w="4706" w:type="dxa"/>
          </w:tcPr>
          <w:p w:rsidR="00E77B3C" w:rsidRDefault="00E77B3C">
            <w:pPr>
              <w:pStyle w:val="ConsPlusNormal"/>
              <w:jc w:val="both"/>
            </w:pPr>
            <w:r>
              <w:t xml:space="preserve">Спирея </w:t>
            </w:r>
            <w:proofErr w:type="spellStart"/>
            <w:r>
              <w:t>калинолистная</w:t>
            </w:r>
            <w:proofErr w:type="spellEnd"/>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3.24</w:t>
            </w:r>
          </w:p>
        </w:tc>
        <w:tc>
          <w:tcPr>
            <w:tcW w:w="4706" w:type="dxa"/>
          </w:tcPr>
          <w:p w:rsidR="00E77B3C" w:rsidRDefault="00E77B3C">
            <w:pPr>
              <w:pStyle w:val="ConsPlusNormal"/>
              <w:jc w:val="both"/>
            </w:pPr>
            <w:r>
              <w:t>Спирея Японская</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169,49</w:t>
            </w:r>
          </w:p>
        </w:tc>
      </w:tr>
      <w:tr w:rsidR="00E77B3C">
        <w:tc>
          <w:tcPr>
            <w:tcW w:w="680" w:type="dxa"/>
          </w:tcPr>
          <w:p w:rsidR="00E77B3C" w:rsidRDefault="00E77B3C">
            <w:pPr>
              <w:pStyle w:val="ConsPlusNormal"/>
              <w:jc w:val="center"/>
            </w:pPr>
            <w:r>
              <w:t>3.25</w:t>
            </w:r>
          </w:p>
        </w:tc>
        <w:tc>
          <w:tcPr>
            <w:tcW w:w="4706" w:type="dxa"/>
          </w:tcPr>
          <w:p w:rsidR="00E77B3C" w:rsidRDefault="00E77B3C">
            <w:pPr>
              <w:pStyle w:val="ConsPlusNormal"/>
              <w:jc w:val="both"/>
            </w:pPr>
            <w:proofErr w:type="spellStart"/>
            <w:r>
              <w:t>Форзиция</w:t>
            </w:r>
            <w:proofErr w:type="spellEnd"/>
            <w:r>
              <w:t xml:space="preserve"> европейская</w:t>
            </w:r>
          </w:p>
        </w:tc>
        <w:tc>
          <w:tcPr>
            <w:tcW w:w="1984" w:type="dxa"/>
          </w:tcPr>
          <w:p w:rsidR="00E77B3C" w:rsidRDefault="00E77B3C">
            <w:pPr>
              <w:pStyle w:val="ConsPlusNormal"/>
              <w:jc w:val="both"/>
            </w:pPr>
            <w:r>
              <w:t>до 60 см</w:t>
            </w:r>
          </w:p>
        </w:tc>
        <w:tc>
          <w:tcPr>
            <w:tcW w:w="1500" w:type="dxa"/>
          </w:tcPr>
          <w:p w:rsidR="00E77B3C" w:rsidRDefault="00E77B3C">
            <w:pPr>
              <w:pStyle w:val="ConsPlusNormal"/>
              <w:jc w:val="center"/>
            </w:pPr>
            <w:r>
              <w:t>211,86</w:t>
            </w:r>
          </w:p>
        </w:tc>
      </w:tr>
      <w:tr w:rsidR="00E77B3C">
        <w:tc>
          <w:tcPr>
            <w:tcW w:w="680" w:type="dxa"/>
          </w:tcPr>
          <w:p w:rsidR="00E77B3C" w:rsidRDefault="00E77B3C">
            <w:pPr>
              <w:pStyle w:val="ConsPlusNormal"/>
              <w:jc w:val="center"/>
              <w:outlineLvl w:val="3"/>
            </w:pPr>
            <w:r>
              <w:t>4</w:t>
            </w:r>
          </w:p>
        </w:tc>
        <w:tc>
          <w:tcPr>
            <w:tcW w:w="4706" w:type="dxa"/>
          </w:tcPr>
          <w:p w:rsidR="00E77B3C" w:rsidRDefault="00E77B3C">
            <w:pPr>
              <w:pStyle w:val="ConsPlusNormal"/>
              <w:jc w:val="both"/>
            </w:pPr>
            <w:r>
              <w:t>Сеянцы деревьев и кустарников хвойных пород</w:t>
            </w:r>
          </w:p>
        </w:tc>
        <w:tc>
          <w:tcPr>
            <w:tcW w:w="1984" w:type="dxa"/>
          </w:tcPr>
          <w:p w:rsidR="00E77B3C" w:rsidRDefault="00E77B3C">
            <w:pPr>
              <w:pStyle w:val="ConsPlusNormal"/>
            </w:pPr>
          </w:p>
        </w:tc>
        <w:tc>
          <w:tcPr>
            <w:tcW w:w="1500" w:type="dxa"/>
          </w:tcPr>
          <w:p w:rsidR="00E77B3C" w:rsidRDefault="00E77B3C">
            <w:pPr>
              <w:pStyle w:val="ConsPlusNormal"/>
            </w:pPr>
          </w:p>
        </w:tc>
      </w:tr>
      <w:tr w:rsidR="00E77B3C">
        <w:tc>
          <w:tcPr>
            <w:tcW w:w="680" w:type="dxa"/>
          </w:tcPr>
          <w:p w:rsidR="00E77B3C" w:rsidRDefault="00E77B3C">
            <w:pPr>
              <w:pStyle w:val="ConsPlusNormal"/>
              <w:jc w:val="center"/>
            </w:pPr>
            <w:r>
              <w:t>4.1</w:t>
            </w:r>
          </w:p>
        </w:tc>
        <w:tc>
          <w:tcPr>
            <w:tcW w:w="4706" w:type="dxa"/>
          </w:tcPr>
          <w:p w:rsidR="00E77B3C" w:rsidRDefault="00E77B3C">
            <w:pPr>
              <w:pStyle w:val="ConsPlusNormal"/>
              <w:jc w:val="both"/>
            </w:pPr>
            <w:r>
              <w:t>Ель колючая (открытая корневая система)</w:t>
            </w:r>
          </w:p>
        </w:tc>
        <w:tc>
          <w:tcPr>
            <w:tcW w:w="1984" w:type="dxa"/>
          </w:tcPr>
          <w:p w:rsidR="00E77B3C" w:rsidRDefault="00E77B3C">
            <w:pPr>
              <w:pStyle w:val="ConsPlusNormal"/>
              <w:jc w:val="both"/>
            </w:pPr>
            <w:r>
              <w:t>до 10 см</w:t>
            </w:r>
          </w:p>
        </w:tc>
        <w:tc>
          <w:tcPr>
            <w:tcW w:w="1500" w:type="dxa"/>
          </w:tcPr>
          <w:p w:rsidR="00E77B3C" w:rsidRDefault="00E77B3C">
            <w:pPr>
              <w:pStyle w:val="ConsPlusNormal"/>
              <w:jc w:val="center"/>
            </w:pPr>
            <w:r>
              <w:t>55,08</w:t>
            </w:r>
          </w:p>
        </w:tc>
      </w:tr>
      <w:tr w:rsidR="00E77B3C">
        <w:tc>
          <w:tcPr>
            <w:tcW w:w="680" w:type="dxa"/>
          </w:tcPr>
          <w:p w:rsidR="00E77B3C" w:rsidRDefault="00E77B3C">
            <w:pPr>
              <w:pStyle w:val="ConsPlusNormal"/>
              <w:jc w:val="center"/>
            </w:pPr>
            <w:r>
              <w:t>4.2</w:t>
            </w:r>
          </w:p>
        </w:tc>
        <w:tc>
          <w:tcPr>
            <w:tcW w:w="4706" w:type="dxa"/>
          </w:tcPr>
          <w:p w:rsidR="00E77B3C" w:rsidRDefault="00E77B3C">
            <w:pPr>
              <w:pStyle w:val="ConsPlusNormal"/>
              <w:jc w:val="both"/>
            </w:pPr>
            <w:r>
              <w:t xml:space="preserve">Туя западная (шаровидная) (открытая корневая </w:t>
            </w:r>
            <w:r>
              <w:lastRenderedPageBreak/>
              <w:t>система)</w:t>
            </w:r>
          </w:p>
        </w:tc>
        <w:tc>
          <w:tcPr>
            <w:tcW w:w="1984" w:type="dxa"/>
          </w:tcPr>
          <w:p w:rsidR="00E77B3C" w:rsidRDefault="00E77B3C">
            <w:pPr>
              <w:pStyle w:val="ConsPlusNormal"/>
              <w:jc w:val="both"/>
            </w:pPr>
            <w:r>
              <w:lastRenderedPageBreak/>
              <w:t>до 10 см</w:t>
            </w:r>
          </w:p>
        </w:tc>
        <w:tc>
          <w:tcPr>
            <w:tcW w:w="1500" w:type="dxa"/>
          </w:tcPr>
          <w:p w:rsidR="00E77B3C" w:rsidRDefault="00E77B3C">
            <w:pPr>
              <w:pStyle w:val="ConsPlusNormal"/>
              <w:jc w:val="center"/>
            </w:pPr>
            <w:r>
              <w:t>63,56</w:t>
            </w:r>
          </w:p>
        </w:tc>
      </w:tr>
    </w:tbl>
    <w:p w:rsidR="00E77B3C" w:rsidRDefault="00E77B3C">
      <w:pPr>
        <w:pStyle w:val="ConsPlusNormal"/>
        <w:ind w:firstLine="540"/>
        <w:jc w:val="both"/>
      </w:pPr>
    </w:p>
    <w:p w:rsidR="00E77B3C" w:rsidRDefault="00E77B3C">
      <w:pPr>
        <w:pStyle w:val="ConsPlusNormal"/>
        <w:ind w:firstLine="540"/>
        <w:jc w:val="both"/>
      </w:pPr>
      <w:r>
        <w:t>Установить, что базовая стоимость зеленых насаждений ежегодно индексируется с учетом индекса потребительских цен.</w:t>
      </w:r>
    </w:p>
    <w:p w:rsidR="00E77B3C" w:rsidRDefault="00E77B3C">
      <w:pPr>
        <w:pStyle w:val="ConsPlusNormal"/>
        <w:spacing w:before="220"/>
        <w:ind w:firstLine="540"/>
        <w:jc w:val="both"/>
      </w:pPr>
      <w:r>
        <w:t xml:space="preserve">2.4. Сметная стоимость работ годового ухода за зелеными насаждениями определяется исходя из базисного уровня цен 2001 года с применением Территориальных сметных нормативов по Пензенской области, с учетом НДС, с применением коэффициента для пересчета цен прошлых периодов к текущему уровню цен. </w:t>
      </w:r>
      <w:proofErr w:type="gramStart"/>
      <w:r>
        <w:t>Коэффициент для пересчета цен прошлых периодов к текущему уровню цен принимается равный индексу потребительских цен на товары и услуги по Пензенской области на месяц к предыдущему месяцу в интервале от января 2002 года до декабря года, предшествующего году, когда формируется стоимость работ годового ухода за зелеными насаждениями, установленному Территориальным органом Федеральной службы государственной статистики по Пензенской области (официальный сайт в</w:t>
      </w:r>
      <w:proofErr w:type="gramEnd"/>
      <w:r>
        <w:t xml:space="preserve"> сети "Интернет" http://78.25.70.150/PriceIndexes/PriceForm.aspx). Стоимость неучтенных материалов определяется среднестатистической ценой по мониторинговым исследованиям.</w:t>
      </w:r>
    </w:p>
    <w:p w:rsidR="00E77B3C" w:rsidRDefault="00E77B3C">
      <w:pPr>
        <w:pStyle w:val="ConsPlusNormal"/>
        <w:jc w:val="both"/>
      </w:pPr>
      <w:r>
        <w:t>(</w:t>
      </w:r>
      <w:proofErr w:type="gramStart"/>
      <w:r>
        <w:t>п</w:t>
      </w:r>
      <w:proofErr w:type="gramEnd"/>
      <w:r>
        <w:t xml:space="preserve">. 2.4 в ред. </w:t>
      </w:r>
      <w:hyperlink r:id="rId14">
        <w:r>
          <w:rPr>
            <w:color w:val="0000FF"/>
          </w:rPr>
          <w:t>Постановления</w:t>
        </w:r>
      </w:hyperlink>
      <w:r>
        <w:t xml:space="preserve"> Администрации г. Заречного от 06.06.2018 N 1174)</w:t>
      </w:r>
    </w:p>
    <w:p w:rsidR="00E77B3C" w:rsidRDefault="00E77B3C">
      <w:pPr>
        <w:pStyle w:val="ConsPlusNormal"/>
        <w:spacing w:before="220"/>
        <w:ind w:firstLine="540"/>
        <w:jc w:val="both"/>
      </w:pPr>
      <w:r>
        <w:t xml:space="preserve">2.5. Сметная стоимость посадки зеленых насаждений и сметная стоимость ухода за зелеными насаждениями составляется муниципальным казенным учреждением "Управление капитального строительства </w:t>
      </w:r>
      <w:proofErr w:type="gramStart"/>
      <w:r>
        <w:t>г</w:t>
      </w:r>
      <w:proofErr w:type="gramEnd"/>
      <w:r>
        <w:t>. Заречного Пензенской области".</w:t>
      </w:r>
    </w:p>
    <w:p w:rsidR="00E77B3C" w:rsidRDefault="00E77B3C">
      <w:pPr>
        <w:pStyle w:val="ConsPlusNormal"/>
        <w:jc w:val="both"/>
      </w:pPr>
      <w:r>
        <w:t>(</w:t>
      </w:r>
      <w:proofErr w:type="gramStart"/>
      <w:r>
        <w:t>п</w:t>
      </w:r>
      <w:proofErr w:type="gramEnd"/>
      <w:r>
        <w:t xml:space="preserve">. 2.5 в ред. </w:t>
      </w:r>
      <w:hyperlink r:id="rId15">
        <w:r>
          <w:rPr>
            <w:color w:val="0000FF"/>
          </w:rPr>
          <w:t>Постановления</w:t>
        </w:r>
      </w:hyperlink>
      <w:r>
        <w:t xml:space="preserve"> Администрации г. Заречного от 06.06.2018 N 1174)</w:t>
      </w:r>
    </w:p>
    <w:p w:rsidR="00E77B3C" w:rsidRDefault="00E77B3C">
      <w:pPr>
        <w:pStyle w:val="ConsPlusNormal"/>
        <w:spacing w:before="220"/>
        <w:ind w:firstLine="540"/>
        <w:jc w:val="both"/>
      </w:pPr>
      <w:r>
        <w:t>3. Коэффициент состояния учитывает фактическое состояние зеленых насаждений.</w:t>
      </w:r>
    </w:p>
    <w:p w:rsidR="00E77B3C" w:rsidRDefault="00E77B3C">
      <w:pPr>
        <w:pStyle w:val="ConsPlusNormal"/>
        <w:spacing w:before="220"/>
        <w:ind w:firstLine="540"/>
        <w:jc w:val="both"/>
      </w:pPr>
      <w:r>
        <w:t>Коэффициент состояния учитывает фактическое состояние зеленых насаждений и принимается в соответствии с таблицей 2.</w:t>
      </w:r>
    </w:p>
    <w:p w:rsidR="00E77B3C" w:rsidRDefault="00E77B3C">
      <w:pPr>
        <w:pStyle w:val="ConsPlusNormal"/>
        <w:ind w:firstLine="540"/>
        <w:jc w:val="both"/>
      </w:pPr>
    </w:p>
    <w:p w:rsidR="00E77B3C" w:rsidRDefault="00E77B3C">
      <w:pPr>
        <w:pStyle w:val="ConsPlusNormal"/>
        <w:jc w:val="right"/>
        <w:outlineLvl w:val="2"/>
      </w:pPr>
      <w:bookmarkStart w:id="1" w:name="P341"/>
      <w:bookmarkEnd w:id="1"/>
      <w:r>
        <w:t>Таблица 2</w:t>
      </w:r>
    </w:p>
    <w:p w:rsidR="00E77B3C" w:rsidRDefault="00E77B3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5"/>
        <w:gridCol w:w="1580"/>
        <w:gridCol w:w="1609"/>
        <w:gridCol w:w="3458"/>
        <w:gridCol w:w="1701"/>
      </w:tblGrid>
      <w:tr w:rsidR="00E77B3C">
        <w:tc>
          <w:tcPr>
            <w:tcW w:w="605" w:type="dxa"/>
          </w:tcPr>
          <w:p w:rsidR="00E77B3C" w:rsidRDefault="00E77B3C">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580" w:type="dxa"/>
            <w:vAlign w:val="center"/>
          </w:tcPr>
          <w:p w:rsidR="00E77B3C" w:rsidRDefault="00E77B3C">
            <w:pPr>
              <w:pStyle w:val="ConsPlusNormal"/>
              <w:jc w:val="center"/>
            </w:pPr>
            <w:r>
              <w:t>Шкала состояния зеленых насаждений</w:t>
            </w:r>
          </w:p>
        </w:tc>
        <w:tc>
          <w:tcPr>
            <w:tcW w:w="1609" w:type="dxa"/>
            <w:vAlign w:val="center"/>
          </w:tcPr>
          <w:p w:rsidR="00E77B3C" w:rsidRDefault="00E77B3C">
            <w:pPr>
              <w:pStyle w:val="ConsPlusNormal"/>
              <w:jc w:val="center"/>
            </w:pPr>
            <w:r>
              <w:t>Повреждения и болезни</w:t>
            </w:r>
          </w:p>
        </w:tc>
        <w:tc>
          <w:tcPr>
            <w:tcW w:w="3458" w:type="dxa"/>
            <w:vAlign w:val="center"/>
          </w:tcPr>
          <w:p w:rsidR="00E77B3C" w:rsidRDefault="00E77B3C">
            <w:pPr>
              <w:pStyle w:val="ConsPlusNormal"/>
              <w:jc w:val="center"/>
            </w:pPr>
            <w:r>
              <w:t>Процент здоровых деревьев</w:t>
            </w:r>
          </w:p>
        </w:tc>
        <w:tc>
          <w:tcPr>
            <w:tcW w:w="1701" w:type="dxa"/>
            <w:vAlign w:val="center"/>
          </w:tcPr>
          <w:p w:rsidR="00E77B3C" w:rsidRDefault="00E77B3C">
            <w:pPr>
              <w:pStyle w:val="ConsPlusNormal"/>
              <w:jc w:val="center"/>
            </w:pPr>
            <w:r>
              <w:t xml:space="preserve">Коэффициент состояния зеленых насаждений, </w:t>
            </w:r>
            <w:proofErr w:type="spellStart"/>
            <w:r>
              <w:t>Ксост</w:t>
            </w:r>
            <w:proofErr w:type="spellEnd"/>
          </w:p>
        </w:tc>
      </w:tr>
      <w:tr w:rsidR="00E77B3C">
        <w:tc>
          <w:tcPr>
            <w:tcW w:w="605" w:type="dxa"/>
          </w:tcPr>
          <w:p w:rsidR="00E77B3C" w:rsidRDefault="00E77B3C">
            <w:pPr>
              <w:pStyle w:val="ConsPlusNormal"/>
              <w:jc w:val="both"/>
            </w:pPr>
            <w:r>
              <w:t>1</w:t>
            </w:r>
          </w:p>
        </w:tc>
        <w:tc>
          <w:tcPr>
            <w:tcW w:w="1580" w:type="dxa"/>
          </w:tcPr>
          <w:p w:rsidR="00E77B3C" w:rsidRDefault="00E77B3C">
            <w:pPr>
              <w:pStyle w:val="ConsPlusNormal"/>
              <w:jc w:val="both"/>
            </w:pPr>
            <w:r>
              <w:t>Здоровые</w:t>
            </w:r>
          </w:p>
        </w:tc>
        <w:tc>
          <w:tcPr>
            <w:tcW w:w="1609" w:type="dxa"/>
          </w:tcPr>
          <w:p w:rsidR="00E77B3C" w:rsidRDefault="00E77B3C">
            <w:pPr>
              <w:pStyle w:val="ConsPlusNormal"/>
              <w:jc w:val="both"/>
            </w:pPr>
            <w:r>
              <w:t>Нет</w:t>
            </w:r>
          </w:p>
        </w:tc>
        <w:tc>
          <w:tcPr>
            <w:tcW w:w="3458" w:type="dxa"/>
          </w:tcPr>
          <w:p w:rsidR="00E77B3C" w:rsidRDefault="00E77B3C">
            <w:pPr>
              <w:pStyle w:val="ConsPlusNormal"/>
              <w:jc w:val="both"/>
            </w:pPr>
            <w:r>
              <w:t xml:space="preserve">Деревья и </w:t>
            </w:r>
            <w:proofErr w:type="gramStart"/>
            <w:r>
              <w:t>кустарники</w:t>
            </w:r>
            <w:proofErr w:type="gramEnd"/>
            <w:r>
              <w:t xml:space="preserve"> здоровые с признаками хорошего роста и развития. Листва (хвоя) зеленая блестящая, крона густая, прирост текущего года нормальный для данной породы, возраста, условий местопроизрастания и сезона, без повреждений.</w:t>
            </w:r>
          </w:p>
        </w:tc>
        <w:tc>
          <w:tcPr>
            <w:tcW w:w="1701" w:type="dxa"/>
          </w:tcPr>
          <w:p w:rsidR="00E77B3C" w:rsidRDefault="00E77B3C">
            <w:pPr>
              <w:pStyle w:val="ConsPlusNormal"/>
              <w:jc w:val="center"/>
            </w:pPr>
            <w:r>
              <w:t>1,0</w:t>
            </w:r>
          </w:p>
        </w:tc>
      </w:tr>
      <w:tr w:rsidR="00E77B3C">
        <w:tc>
          <w:tcPr>
            <w:tcW w:w="605" w:type="dxa"/>
          </w:tcPr>
          <w:p w:rsidR="00E77B3C" w:rsidRDefault="00E77B3C">
            <w:pPr>
              <w:pStyle w:val="ConsPlusNormal"/>
              <w:jc w:val="both"/>
            </w:pPr>
            <w:r>
              <w:t>2</w:t>
            </w:r>
          </w:p>
        </w:tc>
        <w:tc>
          <w:tcPr>
            <w:tcW w:w="1580" w:type="dxa"/>
          </w:tcPr>
          <w:p w:rsidR="00E77B3C" w:rsidRDefault="00E77B3C">
            <w:pPr>
              <w:pStyle w:val="ConsPlusNormal"/>
              <w:jc w:val="both"/>
            </w:pPr>
            <w:r>
              <w:t>Ослабленные</w:t>
            </w:r>
          </w:p>
        </w:tc>
        <w:tc>
          <w:tcPr>
            <w:tcW w:w="1609" w:type="dxa"/>
          </w:tcPr>
          <w:p w:rsidR="00E77B3C" w:rsidRDefault="00E77B3C">
            <w:pPr>
              <w:pStyle w:val="ConsPlusNormal"/>
              <w:jc w:val="both"/>
            </w:pPr>
            <w:r>
              <w:t>Местные повреждения ствола, ветвей</w:t>
            </w:r>
          </w:p>
        </w:tc>
        <w:tc>
          <w:tcPr>
            <w:tcW w:w="3458" w:type="dxa"/>
          </w:tcPr>
          <w:p w:rsidR="00E77B3C" w:rsidRDefault="00E77B3C">
            <w:pPr>
              <w:pStyle w:val="ConsPlusNormal"/>
              <w:jc w:val="both"/>
            </w:pPr>
            <w:proofErr w:type="gramStart"/>
            <w:r>
              <w:t xml:space="preserve">Листва (хвоя) часто светлее обычного, крона </w:t>
            </w:r>
            <w:proofErr w:type="spellStart"/>
            <w:r>
              <w:t>слабоажурная</w:t>
            </w:r>
            <w:proofErr w:type="spellEnd"/>
            <w:r>
              <w:t>, прирост уменьшен не более чем наполовину по сравнению с нормальным, до 25% сухих ветвей в кроне.</w:t>
            </w:r>
            <w:proofErr w:type="gramEnd"/>
          </w:p>
        </w:tc>
        <w:tc>
          <w:tcPr>
            <w:tcW w:w="1701" w:type="dxa"/>
          </w:tcPr>
          <w:p w:rsidR="00E77B3C" w:rsidRDefault="00E77B3C">
            <w:pPr>
              <w:pStyle w:val="ConsPlusNormal"/>
              <w:jc w:val="center"/>
            </w:pPr>
            <w:r>
              <w:t>0,75</w:t>
            </w:r>
          </w:p>
        </w:tc>
      </w:tr>
      <w:tr w:rsidR="00E77B3C">
        <w:tc>
          <w:tcPr>
            <w:tcW w:w="605" w:type="dxa"/>
          </w:tcPr>
          <w:p w:rsidR="00E77B3C" w:rsidRDefault="00E77B3C">
            <w:pPr>
              <w:pStyle w:val="ConsPlusNormal"/>
              <w:jc w:val="both"/>
            </w:pPr>
            <w:r>
              <w:t>3</w:t>
            </w:r>
          </w:p>
        </w:tc>
        <w:tc>
          <w:tcPr>
            <w:tcW w:w="1580" w:type="dxa"/>
          </w:tcPr>
          <w:p w:rsidR="00E77B3C" w:rsidRDefault="00E77B3C">
            <w:pPr>
              <w:pStyle w:val="ConsPlusNormal"/>
              <w:jc w:val="both"/>
            </w:pPr>
            <w:r>
              <w:t>Угнетенные</w:t>
            </w:r>
          </w:p>
        </w:tc>
        <w:tc>
          <w:tcPr>
            <w:tcW w:w="1609" w:type="dxa"/>
          </w:tcPr>
          <w:p w:rsidR="00E77B3C" w:rsidRDefault="00E77B3C">
            <w:pPr>
              <w:pStyle w:val="ConsPlusNormal"/>
              <w:jc w:val="both"/>
            </w:pPr>
            <w:r>
              <w:t xml:space="preserve">Повреждения </w:t>
            </w:r>
            <w:r>
              <w:lastRenderedPageBreak/>
              <w:t xml:space="preserve">ствола, ветвей, </w:t>
            </w:r>
            <w:proofErr w:type="spellStart"/>
            <w:r>
              <w:t>сокотечение</w:t>
            </w:r>
            <w:proofErr w:type="spellEnd"/>
            <w:r>
              <w:t>, признаки поселения стволовых вредителей</w:t>
            </w:r>
          </w:p>
        </w:tc>
        <w:tc>
          <w:tcPr>
            <w:tcW w:w="3458" w:type="dxa"/>
          </w:tcPr>
          <w:p w:rsidR="00E77B3C" w:rsidRDefault="00E77B3C">
            <w:pPr>
              <w:pStyle w:val="ConsPlusNormal"/>
              <w:jc w:val="both"/>
            </w:pPr>
            <w:r>
              <w:lastRenderedPageBreak/>
              <w:t xml:space="preserve">Листва мельче или светлее </w:t>
            </w:r>
            <w:proofErr w:type="gramStart"/>
            <w:r>
              <w:lastRenderedPageBreak/>
              <w:t>обычной</w:t>
            </w:r>
            <w:proofErr w:type="gramEnd"/>
            <w:r>
              <w:t xml:space="preserve">, преждевременно опадает, хвоя светло-зеленая или серовато-матовая, прирост уменьшен более чем наполовину по сравнению с нормальным. Крона ажурная, </w:t>
            </w:r>
            <w:proofErr w:type="spellStart"/>
            <w:r>
              <w:t>изрежена</w:t>
            </w:r>
            <w:proofErr w:type="spellEnd"/>
            <w:r>
              <w:t xml:space="preserve">, листья (хвоя) сохранены или частично осыпались. Отмечается </w:t>
            </w:r>
            <w:proofErr w:type="spellStart"/>
            <w:r>
              <w:t>суховершинность</w:t>
            </w:r>
            <w:proofErr w:type="spellEnd"/>
            <w:r>
              <w:t xml:space="preserve">. Сухих ветвей в кроне до 50 - 75%. Наблюдается </w:t>
            </w:r>
            <w:proofErr w:type="spellStart"/>
            <w:r>
              <w:t>сокотечение</w:t>
            </w:r>
            <w:proofErr w:type="spellEnd"/>
            <w:r>
              <w:t xml:space="preserve"> и наличие </w:t>
            </w:r>
            <w:proofErr w:type="spellStart"/>
            <w:r>
              <w:t>волчковых</w:t>
            </w:r>
            <w:proofErr w:type="spellEnd"/>
            <w:r>
              <w:t xml:space="preserve"> побегов.</w:t>
            </w:r>
          </w:p>
        </w:tc>
        <w:tc>
          <w:tcPr>
            <w:tcW w:w="1701" w:type="dxa"/>
          </w:tcPr>
          <w:p w:rsidR="00E77B3C" w:rsidRDefault="00E77B3C">
            <w:pPr>
              <w:pStyle w:val="ConsPlusNormal"/>
              <w:jc w:val="center"/>
            </w:pPr>
            <w:r>
              <w:lastRenderedPageBreak/>
              <w:t>0,5</w:t>
            </w:r>
          </w:p>
        </w:tc>
      </w:tr>
      <w:tr w:rsidR="00E77B3C">
        <w:tc>
          <w:tcPr>
            <w:tcW w:w="605" w:type="dxa"/>
          </w:tcPr>
          <w:p w:rsidR="00E77B3C" w:rsidRDefault="00E77B3C">
            <w:pPr>
              <w:pStyle w:val="ConsPlusNormal"/>
              <w:jc w:val="both"/>
            </w:pPr>
            <w:r>
              <w:lastRenderedPageBreak/>
              <w:t>4</w:t>
            </w:r>
          </w:p>
        </w:tc>
        <w:tc>
          <w:tcPr>
            <w:tcW w:w="1580" w:type="dxa"/>
          </w:tcPr>
          <w:p w:rsidR="00E77B3C" w:rsidRDefault="00E77B3C">
            <w:pPr>
              <w:pStyle w:val="ConsPlusNormal"/>
              <w:jc w:val="both"/>
            </w:pPr>
            <w:r>
              <w:t>Усыхающие</w:t>
            </w:r>
          </w:p>
        </w:tc>
        <w:tc>
          <w:tcPr>
            <w:tcW w:w="1609" w:type="dxa"/>
          </w:tcPr>
          <w:p w:rsidR="00E77B3C" w:rsidRDefault="00E77B3C">
            <w:pPr>
              <w:pStyle w:val="ConsPlusNormal"/>
              <w:jc w:val="both"/>
            </w:pPr>
            <w:r>
              <w:t xml:space="preserve">Сильные повреждения ствола, ветвей, </w:t>
            </w:r>
            <w:proofErr w:type="spellStart"/>
            <w:r>
              <w:t>сокотечение</w:t>
            </w:r>
            <w:proofErr w:type="spellEnd"/>
            <w:r>
              <w:t>, признаки поселения стволовых вредителей</w:t>
            </w:r>
          </w:p>
        </w:tc>
        <w:tc>
          <w:tcPr>
            <w:tcW w:w="3458" w:type="dxa"/>
          </w:tcPr>
          <w:p w:rsidR="00E77B3C" w:rsidRDefault="00E77B3C">
            <w:pPr>
              <w:pStyle w:val="ConsPlusNormal"/>
              <w:jc w:val="both"/>
            </w:pPr>
            <w:proofErr w:type="gramStart"/>
            <w:r>
              <w:t xml:space="preserve">Листва (хвоя) часто светлее обычного, крона </w:t>
            </w:r>
            <w:proofErr w:type="spellStart"/>
            <w:r>
              <w:t>слабоажурная</w:t>
            </w:r>
            <w:proofErr w:type="spellEnd"/>
            <w:r>
              <w:t>, прирост уменьшен не более чем наполовину по сравнению с нормальным, до 25% сухих ветвей в кроне.</w:t>
            </w:r>
            <w:proofErr w:type="gramEnd"/>
          </w:p>
        </w:tc>
        <w:tc>
          <w:tcPr>
            <w:tcW w:w="1701" w:type="dxa"/>
          </w:tcPr>
          <w:p w:rsidR="00E77B3C" w:rsidRDefault="00E77B3C">
            <w:pPr>
              <w:pStyle w:val="ConsPlusNormal"/>
              <w:jc w:val="center"/>
            </w:pPr>
            <w:r>
              <w:t>0,25</w:t>
            </w:r>
          </w:p>
        </w:tc>
      </w:tr>
    </w:tbl>
    <w:p w:rsidR="00E77B3C" w:rsidRDefault="00E77B3C">
      <w:pPr>
        <w:pStyle w:val="ConsPlusNormal"/>
        <w:ind w:firstLine="540"/>
        <w:jc w:val="both"/>
      </w:pPr>
    </w:p>
    <w:p w:rsidR="00E77B3C" w:rsidRDefault="00E77B3C">
      <w:pPr>
        <w:pStyle w:val="ConsPlusNormal"/>
        <w:ind w:firstLine="540"/>
        <w:jc w:val="both"/>
      </w:pPr>
    </w:p>
    <w:p w:rsidR="00E77B3C" w:rsidRDefault="00E77B3C">
      <w:pPr>
        <w:pStyle w:val="ConsPlusNormal"/>
        <w:pBdr>
          <w:bottom w:val="single" w:sz="6" w:space="0" w:color="auto"/>
        </w:pBdr>
        <w:spacing w:before="100" w:after="100"/>
        <w:jc w:val="both"/>
        <w:rPr>
          <w:sz w:val="2"/>
          <w:szCs w:val="2"/>
        </w:rPr>
      </w:pPr>
    </w:p>
    <w:p w:rsidR="00FC458D" w:rsidRDefault="00FC458D"/>
    <w:sectPr w:rsidR="00FC458D" w:rsidSect="003773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7B3C"/>
    <w:rsid w:val="00E77B3C"/>
    <w:rsid w:val="00FC45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7B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77B3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77B3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1459&amp;dst=100969" TargetMode="External"/><Relationship Id="rId13" Type="http://schemas.openxmlformats.org/officeDocument/2006/relationships/hyperlink" Target="https://login.consultant.ru/link/?req=doc&amp;base=RLAW021&amp;n=127063&amp;dst=10000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4306&amp;dst=100558" TargetMode="External"/><Relationship Id="rId12" Type="http://schemas.openxmlformats.org/officeDocument/2006/relationships/hyperlink" Target="https://login.consultant.ru/link/?req=doc&amp;base=RLAW021&amp;n=128027&amp;dst=10000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2832&amp;dst=100178" TargetMode="External"/><Relationship Id="rId11" Type="http://schemas.openxmlformats.org/officeDocument/2006/relationships/hyperlink" Target="https://login.consultant.ru/link/?req=doc&amp;base=RLAW021&amp;n=128027&amp;dst=100006" TargetMode="External"/><Relationship Id="rId5" Type="http://schemas.openxmlformats.org/officeDocument/2006/relationships/hyperlink" Target="https://login.consultant.ru/link/?req=doc&amp;base=RLAW021&amp;n=128027&amp;dst=100005" TargetMode="External"/><Relationship Id="rId15" Type="http://schemas.openxmlformats.org/officeDocument/2006/relationships/hyperlink" Target="https://login.consultant.ru/link/?req=doc&amp;base=RLAW021&amp;n=128027&amp;dst=100011" TargetMode="External"/><Relationship Id="rId10" Type="http://schemas.openxmlformats.org/officeDocument/2006/relationships/hyperlink" Target="https://login.consultant.ru/link/?req=doc&amp;base=RLAW021&amp;n=127063&amp;dst=100006" TargetMode="External"/><Relationship Id="rId4" Type="http://schemas.openxmlformats.org/officeDocument/2006/relationships/hyperlink" Target="https://login.consultant.ru/link/?req=doc&amp;base=RLAW021&amp;n=127063&amp;dst=100005" TargetMode="External"/><Relationship Id="rId9" Type="http://schemas.openxmlformats.org/officeDocument/2006/relationships/hyperlink" Target="https://login.consultant.ru/link/?req=doc&amp;base=RLAW021&amp;n=191459&amp;dst=101017" TargetMode="External"/><Relationship Id="rId14" Type="http://schemas.openxmlformats.org/officeDocument/2006/relationships/hyperlink" Target="https://login.consultant.ru/link/?req=doc&amp;base=RLAW021&amp;n=128027&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1883</Words>
  <Characters>10735</Characters>
  <Application>Microsoft Office Word</Application>
  <DocSecurity>0</DocSecurity>
  <Lines>89</Lines>
  <Paragraphs>25</Paragraphs>
  <ScaleCrop>false</ScaleCrop>
  <Company/>
  <LinksUpToDate>false</LinksUpToDate>
  <CharactersWithSpaces>12593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2024-05-16T08:50:00Z</dcterms:created>
  <dcterms:modified xsi:type="dcterms:W3CDTF">2024-05-16T08:51:00Z</dcterms:modified>
</cp:coreProperties>
</file>