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65" w:rsidRPr="00D01165" w:rsidRDefault="004B4967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96" w:rsidRPr="00524C2E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4C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196F2A" w:rsidRPr="00524C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01165" w:rsidRPr="00524C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БОЯРОВСКОГО</w:t>
      </w:r>
      <w:r w:rsidRPr="00524C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БАШМАКОВСКОГО РАЙОНА</w:t>
      </w:r>
      <w:r w:rsidR="00524C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24C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63C96" w:rsidRPr="00524C2E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63C96" w:rsidRPr="00524C2E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3C96" w:rsidRPr="00524C2E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4B4967" w:rsidRPr="0052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30.10.2020</w:t>
      </w:r>
      <w:r w:rsidRPr="0052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01165" w:rsidRPr="0052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52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</w:t>
      </w:r>
      <w:r w:rsidRPr="00524C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B4967" w:rsidRPr="00524C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80-п</w:t>
      </w:r>
    </w:p>
    <w:p w:rsidR="00863C96" w:rsidRPr="00524C2E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D01165" w:rsidRPr="00524C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Каменка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 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проектной документации на проведение работ по сохранению объекта культурного наследия  местного (муниципального) значения, расположенного  на территории  </w:t>
      </w:r>
      <w:r w:rsidR="00D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Бояровск</w:t>
      </w:r>
      <w:r w:rsidR="0003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="0003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.06.2019 № </w:t>
      </w:r>
      <w:r w:rsidR="00D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28А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D01165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Бояровского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                      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D0116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EC6FA1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D01165" w:rsidRP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D0116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D011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D01165" w:rsidRP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  <w:r w:rsidR="00D0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 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на проведение работ по  сохранению объекта культурного  наследия местного (муниципального) значения, расположенного на территории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ведомости»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и.о. главы администрации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C96" w:rsidRPr="00863C96" w:rsidRDefault="00863C96" w:rsidP="000303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администрации</w:t>
      </w:r>
      <w:r w:rsidR="0003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03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А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03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03C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Клюев</w:t>
      </w: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4B4967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30.10.2020 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80-п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1" w:name="P29"/>
      <w:bookmarkEnd w:id="1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:rsidR="002501DD" w:rsidRPr="002501DD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предоставления муниципальной услуги «Согласование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проектной  документации на проведение работ по сохранению объекта  культурного наследия местного</w:t>
      </w:r>
      <w:r w:rsidR="008853E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(муниципального) значения, расположенного на территории  </w:t>
      </w:r>
      <w:r w:rsidR="00D0116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Бояровского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</w:p>
    <w:p w:rsidR="002501DD" w:rsidRPr="002501DD" w:rsidRDefault="002501DD" w:rsidP="002501D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Административный регламент предоставления муниципальной услуги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D011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Бояровского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(далее – Административный регламент)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устанавливает порядок и стандарт предоставления муниципальной услуги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сположенного на территории </w:t>
      </w:r>
      <w:r w:rsidR="00D011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Бояровского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сельсовета 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D0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Бояровского</w:t>
      </w:r>
      <w:r w:rsidR="00F26EBA" w:rsidRPr="00F26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bookmarkStart w:id="2" w:name="P45"/>
      <w:bookmarkEnd w:id="2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Заявителем на предоставление муниципальной услуги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или юридические лица, либо их уполномоченные представители (далее - Заявитель).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Требования к порядку информирования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7A5E9D" w:rsidRPr="007A5E9D">
        <w:rPr>
          <w:rFonts w:ascii="Times New Roman" w:eastAsia="Calibri" w:hAnsi="Times New Roman" w:cs="Times New Roman"/>
          <w:color w:val="00000A"/>
          <w:sz w:val="28"/>
          <w:szCs w:val="28"/>
        </w:rPr>
        <w:t>http://</w:t>
      </w:r>
      <w:r w:rsidR="007A5E9D" w:rsidRPr="007A5E9D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boyrovsk</w:t>
      </w:r>
      <w:r w:rsidR="007A5E9D" w:rsidRPr="007A5E9D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7A5E9D" w:rsidRPr="007A5E9D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bashmakovo</w:t>
      </w:r>
      <w:r w:rsidR="007A5E9D" w:rsidRPr="007A5E9D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7A5E9D" w:rsidRPr="007A5E9D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pnzreg</w:t>
      </w:r>
      <w:r w:rsidR="007A5E9D" w:rsidRPr="007A5E9D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7A5E9D" w:rsidRPr="007A5E9D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r w:rsidR="007A5E9D" w:rsidRPr="007C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2501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2501DD" w:rsidRPr="002501DD" w:rsidRDefault="002501DD" w:rsidP="003F4668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501DD" w:rsidRPr="002501DD" w:rsidRDefault="002501DD" w:rsidP="00F26EBA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срок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актами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F26E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F26E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Административного регламента.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место нахождения и график работы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официального сайта Администрации, адрес ее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 Администрации, на официальном сайте Администрации, на Едином портале, Региональном портале.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keepNext/>
        <w:keepLines/>
        <w:widowControl w:val="0"/>
        <w:tabs>
          <w:tab w:val="left" w:pos="282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1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II. Стандарт предоставления муниципальной услуги</w:t>
      </w:r>
      <w:bookmarkEnd w:id="3"/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Наименование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2.1. Наименование муниципальной услуги: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D011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Бояровского</w:t>
      </w:r>
      <w:r w:rsidR="003F46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Результат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письмо о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уведомление об отказе в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1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(далее – уведомление об отказе в согласовании проектной документации).</w:t>
      </w: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Срок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Правовые основания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 на информационных стендах Администрации.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Бояровского</w:t>
      </w:r>
      <w:r w:rsidR="003F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 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на бумажном носителе по адресу Администрации;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почтовой связи по адресу Администрации.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2501DD" w:rsidRPr="002501DD" w:rsidRDefault="002501DD" w:rsidP="00F26EB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2.9. Основания для приостановления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предоставлении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2.10.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согласовании проектной документации осуществляется в следующих случаях: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наличие недостоверных сведений в документах, указанных в </w:t>
      </w:r>
      <w:hyperlink r:id="rId10" w:anchor="/document/71250996/entry/1003" w:history="1">
        <w:r w:rsidRPr="002501D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</w:t>
        </w:r>
      </w:hyperlink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2.6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представленные документы подписаны лицом, не имеющим на то полномочий;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5) несогласие Администрации с заключением государственной историко-культурной экспертизы.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4" w:name="_GoBack"/>
      <w:bookmarkEnd w:id="4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2501DD" w:rsidRPr="00F26EBA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2.12. Муниципальная услуга предоставляется бесплатно.</w:t>
      </w:r>
    </w:p>
    <w:p w:rsidR="002501DD" w:rsidRPr="00F26EBA" w:rsidRDefault="002501DD" w:rsidP="00F26E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2.13. Время ожидания в очереди не должно превышать: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подаче заявления и документов - 15 минут;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получении результата предоставления муниципальной услуги - 15 минут.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Срок регистрации заявления заявителя о предоставлении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4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Требования к помещениям, в которых предоставляется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Здания, в которых располагаются помещения Администрации,  должны быть расположены с учетом транспортной и пешеходной доступности для заявителей.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Администрации должны соответствовать санитарно-эпидемиологическим правилам и нормативам «Гигиенические требования к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2501DD" w:rsidRPr="002501DD" w:rsidRDefault="002501DD" w:rsidP="00F26EBA">
      <w:pPr>
        <w:widowControl w:val="0"/>
        <w:tabs>
          <w:tab w:val="left" w:pos="1080"/>
        </w:tabs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2501DD" w:rsidRPr="002501DD" w:rsidRDefault="002501DD" w:rsidP="00F26EBA">
      <w:pPr>
        <w:widowControl w:val="0"/>
        <w:tabs>
          <w:tab w:val="left" w:pos="108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501DD" w:rsidRPr="002501DD" w:rsidRDefault="002501DD" w:rsidP="00F26EBA">
      <w:pPr>
        <w:widowControl w:val="0"/>
        <w:tabs>
          <w:tab w:val="center" w:pos="142"/>
        </w:tabs>
        <w:autoSpaceDE w:val="0"/>
        <w:autoSpaceDN w:val="0"/>
        <w:spacing w:after="0" w:line="240" w:lineRule="auto"/>
        <w:ind w:right="59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</w:t>
      </w:r>
      <w:r w:rsidRPr="002501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2501DD" w:rsidRPr="00F26EBA" w:rsidRDefault="002501DD" w:rsidP="00F26EBA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5" w:name="bookmark2"/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Показатели доступности и качества муниципальной услуги</w:t>
      </w:r>
      <w:bookmarkEnd w:id="5"/>
    </w:p>
    <w:p w:rsidR="002501DD" w:rsidRPr="002501DD" w:rsidRDefault="002501DD" w:rsidP="00F26EBA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2.31. Показателями доступности предоставления муниципальной услуги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предоставление возможности получения муниципальной услуги в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транспортная или пешая доступность к местам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Показателями качества предоставления муниципальной услуги 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сроков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подаче документов для получения муниципальной услуги;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получении результата предоставления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hyperlink r:id="rId11" w:anchor="/document/12177515/entry/2005" w:history="1"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многофункциональных центрах</w:t>
        </w:r>
      </w:hyperlink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особенности </w:t>
      </w:r>
      <w:hyperlink r:id="rId12" w:anchor="/document/12177515/entry/206" w:history="1"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предоставления  муниципальной услуги в электронной форме</w:t>
        </w:r>
      </w:hyperlink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A36BAC" w:rsidRPr="002501DD" w:rsidRDefault="00A36BAC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досудебное (внесудебное) обжалование решений и действий (бездействия)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Администрации, должностного лица Администрации, муниципального служащего.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6" w:name="bookmark5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Поступившие заявление и документы, регистрируются в день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поступления с присвоением входящего номера и указанием даты 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Ответственный исполнитель: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письма о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 и передает их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рассматривает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его, после чего специалист Администрации, ответственный за регистрацию, регистрирует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и передает их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экземплярах.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 передаются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Отказ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препятствием для повторного обращения заявителя за выдачей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Способом фиксации результата выполнения административной процедуры является подписанное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уведомление об отказе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7" w:name="bookmark3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Выдача заявителю результата предоставления муниципальной услуги</w:t>
      </w:r>
      <w:bookmarkEnd w:id="7"/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Основанием для начала административной процедуры является подписанное главой Администрации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подписанное главой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зарегистрированное уведомление об отказе в согласовании проектной документации 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Ответственный исполнитель любым доступным способом с даты регистрации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согласования проектной документации, ответственный исполнитель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заявителю указать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учета выдачи согласованной проектной документации (далее – Журнал)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внесения этих данных в Журнал, ответственный исполнитель выдает заявителю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согласовании проектной документации с согласованной проектной документацией, в 1 (одном) экземпляре.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согласовании проектной документации, ответственный исполнитель выдает заявителю уведомление об отказе в согласовании проектной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</w:t>
      </w:r>
      <w:r w:rsidRPr="002501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документации, либо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Результатом выполнения административной процедуры является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уведомление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Продолжительность административной процедуры составляет не более  3 (трех) рабочих дней со дня подписания главой Администрации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исправления допущенных опечаток и ошибок в выданных</w:t>
      </w:r>
    </w:p>
    <w:p w:rsid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результате предоставления муниципальной услуги документах</w:t>
      </w:r>
    </w:p>
    <w:p w:rsidR="00E91AC5" w:rsidRPr="00F26EBA" w:rsidRDefault="00E91AC5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об исправлении технической ошибки;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 Ответственный исполнитель проверяет поступившее заявление об исправлении технической ошибки на предмет наличия технической ошибки в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письма о согласовании проектной документации либо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Ответственный исполнитель передает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письма о согласовании проектной документации либо уведомление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IV. Формы контроля за исполнением Административного</w:t>
      </w:r>
      <w:bookmarkEnd w:id="6"/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8" w:name="bookmark6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регламента</w:t>
      </w:r>
      <w:bookmarkEnd w:id="8"/>
    </w:p>
    <w:p w:rsidR="002501DD" w:rsidRPr="002501DD" w:rsidRDefault="002501DD" w:rsidP="00F26EBA">
      <w:pPr>
        <w:widowControl w:val="0"/>
        <w:tabs>
          <w:tab w:val="left" w:pos="1144"/>
        </w:tabs>
        <w:spacing w:after="0" w:line="317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E9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администрации </w:t>
      </w:r>
      <w:r w:rsidRPr="002501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 также их должностных лиц, муниципальных служащих, работников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указанных в статье 11.1 Федерального закона от 27.07.2010 № 210-ФЗ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ФЗ № 210-ФЗ.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 на официальном сайте Администрации, Едином портале, Региональном портале, а также в устной и (или) письменной форме.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C4268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C426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ФЗ № 210-ФЗ;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</w:t>
      </w:r>
      <w:r w:rsidR="007C2F99"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от</w:t>
      </w:r>
      <w:r w:rsidR="007C2F99"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11.09.2018 </w:t>
      </w:r>
      <w:r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C2F99"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39-п</w:t>
      </w:r>
      <w:r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подачи и рассмотрения жалоб на решения и действия (бездействие) </w:t>
      </w:r>
      <w:r w:rsidR="007C2F99" w:rsidRPr="007C2F99">
        <w:rPr>
          <w:rFonts w:ascii="Times New Roman" w:eastAsia="Calibri" w:hAnsi="Times New Roman" w:cs="Times New Roman"/>
          <w:color w:val="00000A"/>
          <w:sz w:val="28"/>
          <w:szCs w:val="28"/>
        </w:rPr>
        <w:t>Бояровского сельсовета Башмаковского района Пензенской области</w:t>
      </w:r>
      <w:r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муниципальных служащих администрации</w:t>
      </w:r>
      <w:r w:rsidR="007C2F99"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F99" w:rsidRPr="007C400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Бояровского сельсовета Башмаковского района Пензенской </w:t>
      </w:r>
      <w:r w:rsidRPr="00E91F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услуг»</w:t>
      </w:r>
      <w:r w:rsidR="00BC5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42C" w:rsidRPr="00BC542C" w:rsidRDefault="00BC542C" w:rsidP="00BC542C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C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FA1E4C" w:rsidRPr="00F26EBA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sectPr w:rsidR="00FA1E4C" w:rsidRPr="00F26EBA" w:rsidSect="00524C2E">
      <w:pgSz w:w="11906" w:h="16838"/>
      <w:pgMar w:top="1276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88" w:rsidRDefault="00515888" w:rsidP="00347F66">
      <w:pPr>
        <w:spacing w:after="0" w:line="240" w:lineRule="auto"/>
      </w:pPr>
      <w:r>
        <w:separator/>
      </w:r>
    </w:p>
  </w:endnote>
  <w:endnote w:type="continuationSeparator" w:id="0">
    <w:p w:rsidR="00515888" w:rsidRDefault="00515888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88" w:rsidRDefault="00515888" w:rsidP="00347F66">
      <w:pPr>
        <w:spacing w:after="0" w:line="240" w:lineRule="auto"/>
      </w:pPr>
      <w:r>
        <w:separator/>
      </w:r>
    </w:p>
  </w:footnote>
  <w:footnote w:type="continuationSeparator" w:id="0">
    <w:p w:rsidR="00515888" w:rsidRDefault="00515888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3756"/>
    <w:rsid w:val="00024318"/>
    <w:rsid w:val="000303CE"/>
    <w:rsid w:val="000355B1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E385B"/>
    <w:rsid w:val="000F0AC9"/>
    <w:rsid w:val="000F3875"/>
    <w:rsid w:val="001016CD"/>
    <w:rsid w:val="00106CD7"/>
    <w:rsid w:val="001520A5"/>
    <w:rsid w:val="00155CDE"/>
    <w:rsid w:val="001573B4"/>
    <w:rsid w:val="00182E10"/>
    <w:rsid w:val="00195972"/>
    <w:rsid w:val="00196F2A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C4268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3F4668"/>
    <w:rsid w:val="003F72B3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4967"/>
    <w:rsid w:val="004B5EED"/>
    <w:rsid w:val="004C73BF"/>
    <w:rsid w:val="004C7428"/>
    <w:rsid w:val="004E1DE3"/>
    <w:rsid w:val="00503C84"/>
    <w:rsid w:val="00507880"/>
    <w:rsid w:val="0051476B"/>
    <w:rsid w:val="00515888"/>
    <w:rsid w:val="00524C2E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B468B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36B63"/>
    <w:rsid w:val="0075364A"/>
    <w:rsid w:val="00784EFE"/>
    <w:rsid w:val="00796A01"/>
    <w:rsid w:val="007A0BAA"/>
    <w:rsid w:val="007A5E9D"/>
    <w:rsid w:val="007B3B86"/>
    <w:rsid w:val="007C2F99"/>
    <w:rsid w:val="007C400F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C09AE"/>
    <w:rsid w:val="008E4679"/>
    <w:rsid w:val="008F56BA"/>
    <w:rsid w:val="00900ED2"/>
    <w:rsid w:val="009133B3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56AF8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3AF2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C542C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16E"/>
    <w:rsid w:val="00CD5630"/>
    <w:rsid w:val="00CE2245"/>
    <w:rsid w:val="00D01165"/>
    <w:rsid w:val="00D04C00"/>
    <w:rsid w:val="00D15EDA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91F89"/>
    <w:rsid w:val="00EA62A1"/>
    <w:rsid w:val="00EB05A0"/>
    <w:rsid w:val="00EC6FA1"/>
    <w:rsid w:val="00EE3B9E"/>
    <w:rsid w:val="00EE3D1A"/>
    <w:rsid w:val="00EF6293"/>
    <w:rsid w:val="00EF700F"/>
    <w:rsid w:val="00F26EBA"/>
    <w:rsid w:val="00F45451"/>
    <w:rsid w:val="00F611BC"/>
    <w:rsid w:val="00F657F8"/>
    <w:rsid w:val="00F671B3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CB00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Заголовок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890E-4AC8-4700-939B-CFAF204A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6867</Words>
  <Characters>39144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Super</cp:lastModifiedBy>
  <cp:revision>19</cp:revision>
  <cp:lastPrinted>2022-01-15T11:47:00Z</cp:lastPrinted>
  <dcterms:created xsi:type="dcterms:W3CDTF">2020-10-19T12:43:00Z</dcterms:created>
  <dcterms:modified xsi:type="dcterms:W3CDTF">2022-01-15T11:48:00Z</dcterms:modified>
</cp:coreProperties>
</file>