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F9" w:rsidRDefault="00EC69F9">
      <w:pPr>
        <w:pStyle w:val="ConsPlusNormal"/>
        <w:jc w:val="both"/>
        <w:outlineLvl w:val="0"/>
      </w:pPr>
    </w:p>
    <w:p w:rsidR="00EC69F9" w:rsidRDefault="00EC69F9">
      <w:pPr>
        <w:pStyle w:val="ConsPlusTitle"/>
        <w:jc w:val="center"/>
        <w:outlineLvl w:val="0"/>
      </w:pPr>
      <w:r>
        <w:t>МИНИСТЕРСТВО СЕЛЬСКОГО ХОЗЯЙСТВА ПЕНЗЕНСКОЙ ОБЛАСТИ</w:t>
      </w:r>
    </w:p>
    <w:p w:rsidR="00EC69F9" w:rsidRDefault="00EC69F9">
      <w:pPr>
        <w:pStyle w:val="ConsPlusTitle"/>
        <w:jc w:val="center"/>
      </w:pPr>
    </w:p>
    <w:p w:rsidR="00EC69F9" w:rsidRDefault="00EC69F9">
      <w:pPr>
        <w:pStyle w:val="ConsPlusTitle"/>
        <w:jc w:val="center"/>
      </w:pPr>
      <w:r>
        <w:t>ПРИКАЗ</w:t>
      </w:r>
    </w:p>
    <w:p w:rsidR="00EC69F9" w:rsidRDefault="00EC69F9">
      <w:pPr>
        <w:pStyle w:val="ConsPlusTitle"/>
        <w:jc w:val="center"/>
      </w:pPr>
      <w:r>
        <w:t>от 23 ноября 2010 г. N 1174</w:t>
      </w:r>
    </w:p>
    <w:p w:rsidR="00EC69F9" w:rsidRDefault="00EC69F9">
      <w:pPr>
        <w:pStyle w:val="ConsPlusTitle"/>
        <w:jc w:val="center"/>
      </w:pPr>
    </w:p>
    <w:p w:rsidR="00EC69F9" w:rsidRDefault="00EC69F9">
      <w:pPr>
        <w:pStyle w:val="ConsPlusTitle"/>
        <w:jc w:val="center"/>
      </w:pPr>
      <w:r>
        <w:t>ОБ УТВЕРЖДЕНИИ ПОРЯДКА РАЗРАБОТКИ СХЕМЫ РАЗМЕЩЕНИЯ</w:t>
      </w:r>
    </w:p>
    <w:p w:rsidR="00EC69F9" w:rsidRDefault="00EC69F9">
      <w:pPr>
        <w:pStyle w:val="ConsPlusTitle"/>
        <w:jc w:val="center"/>
      </w:pPr>
      <w:r>
        <w:t>НЕСТАЦИОНАРНЫХ ТОРГОВЫХ ОБЪЕКТОВ НА ТЕРРИТОРИИ</w:t>
      </w:r>
    </w:p>
    <w:p w:rsidR="00EC69F9" w:rsidRDefault="00EC69F9">
      <w:pPr>
        <w:pStyle w:val="ConsPlusTitle"/>
        <w:jc w:val="center"/>
      </w:pPr>
      <w:r>
        <w:t>ПЕНЗЕНСКОЙ ОБЛАСТИ</w:t>
      </w:r>
    </w:p>
    <w:p w:rsidR="00EC69F9" w:rsidRDefault="00EC69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C69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69F9" w:rsidRDefault="00EC69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69F9" w:rsidRDefault="00EC69F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Минсельхоза Пензенской обл.</w:t>
            </w:r>
            <w:proofErr w:type="gramEnd"/>
          </w:p>
          <w:p w:rsidR="00EC69F9" w:rsidRDefault="00EC69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23.07.2012 </w:t>
            </w:r>
            <w:hyperlink r:id="rId4" w:history="1">
              <w:r>
                <w:rPr>
                  <w:color w:val="0000FF"/>
                </w:rPr>
                <w:t>N 1510</w:t>
              </w:r>
            </w:hyperlink>
            <w:r>
              <w:rPr>
                <w:color w:val="392C69"/>
              </w:rPr>
              <w:t xml:space="preserve">, от 05.11.2015 </w:t>
            </w:r>
            <w:hyperlink r:id="rId5" w:history="1">
              <w:r>
                <w:rPr>
                  <w:color w:val="0000FF"/>
                </w:rPr>
                <w:t>N 575</w:t>
              </w:r>
            </w:hyperlink>
            <w:r>
              <w:rPr>
                <w:color w:val="392C69"/>
              </w:rPr>
              <w:t xml:space="preserve">, от 21.06.2016 </w:t>
            </w:r>
            <w:hyperlink r:id="rId6" w:history="1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C69F9" w:rsidRDefault="00EC69F9">
      <w:pPr>
        <w:pStyle w:val="ConsPlusNormal"/>
        <w:jc w:val="both"/>
      </w:pPr>
    </w:p>
    <w:p w:rsidR="00EC69F9" w:rsidRDefault="00EC69F9">
      <w:pPr>
        <w:pStyle w:val="ConsPlusNormal"/>
        <w:ind w:firstLine="540"/>
        <w:jc w:val="both"/>
      </w:pPr>
      <w:proofErr w:type="gramStart"/>
      <w:r>
        <w:t xml:space="preserve">В целях упорядочения размещения нестационарных торговых объектов на территории Пензенской области и во исполнение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руководствуясь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10.02.2009 N 99-пП "Об утверждении Положения о Министерстве сельского хозяйства Пензенской области" (с последующими изменениями), приказываю:</w:t>
      </w:r>
      <w:proofErr w:type="gramEnd"/>
    </w:p>
    <w:p w:rsidR="00EC69F9" w:rsidRDefault="00EC69F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Порядок</w:t>
        </w:r>
      </w:hyperlink>
      <w:r>
        <w:t xml:space="preserve"> разработки схемы размещения нестационарных торговых объектов на территории Пензенской области согласно приложению.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2. Настоящий приказ вступает в силу с момента его подписания.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3. Опубликовать настоящий приказ в газете "Пензенские губернские ведомости".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начальника управления рынка продовольствия и лицензирования Министерства сельского хозяйства Пензенской области.</w:t>
      </w:r>
    </w:p>
    <w:p w:rsidR="00EC69F9" w:rsidRDefault="00EC69F9">
      <w:pPr>
        <w:pStyle w:val="ConsPlusNormal"/>
        <w:jc w:val="both"/>
      </w:pPr>
    </w:p>
    <w:p w:rsidR="00EC69F9" w:rsidRDefault="00EC69F9">
      <w:pPr>
        <w:pStyle w:val="ConsPlusNormal"/>
        <w:jc w:val="right"/>
      </w:pPr>
      <w:r>
        <w:t>Первый заместитель Министра</w:t>
      </w:r>
    </w:p>
    <w:p w:rsidR="00EC69F9" w:rsidRDefault="00EC69F9">
      <w:pPr>
        <w:pStyle w:val="ConsPlusNormal"/>
        <w:jc w:val="right"/>
      </w:pPr>
      <w:r>
        <w:t>А.В.БУРЛАКОВ</w:t>
      </w:r>
    </w:p>
    <w:p w:rsidR="00EC69F9" w:rsidRDefault="00EC69F9">
      <w:pPr>
        <w:pStyle w:val="ConsPlusNormal"/>
        <w:jc w:val="both"/>
      </w:pPr>
    </w:p>
    <w:p w:rsidR="00EC69F9" w:rsidRDefault="00EC69F9">
      <w:pPr>
        <w:pStyle w:val="ConsPlusNormal"/>
        <w:jc w:val="both"/>
      </w:pPr>
    </w:p>
    <w:p w:rsidR="00EC69F9" w:rsidRDefault="00EC69F9">
      <w:pPr>
        <w:pStyle w:val="ConsPlusNormal"/>
        <w:jc w:val="both"/>
      </w:pPr>
    </w:p>
    <w:p w:rsidR="00EC69F9" w:rsidRDefault="00EC69F9">
      <w:pPr>
        <w:pStyle w:val="ConsPlusNormal"/>
        <w:jc w:val="both"/>
      </w:pPr>
    </w:p>
    <w:p w:rsidR="00EC69F9" w:rsidRDefault="00EC69F9">
      <w:pPr>
        <w:pStyle w:val="ConsPlusNormal"/>
        <w:jc w:val="both"/>
      </w:pPr>
    </w:p>
    <w:p w:rsidR="00EC69F9" w:rsidRDefault="00EC69F9">
      <w:pPr>
        <w:pStyle w:val="ConsPlusNormal"/>
        <w:jc w:val="right"/>
        <w:outlineLvl w:val="0"/>
      </w:pPr>
      <w:r>
        <w:t>Приложение</w:t>
      </w:r>
    </w:p>
    <w:p w:rsidR="00EC69F9" w:rsidRDefault="00EC69F9">
      <w:pPr>
        <w:pStyle w:val="ConsPlusNormal"/>
        <w:jc w:val="right"/>
      </w:pPr>
      <w:r>
        <w:t>к приказу</w:t>
      </w:r>
    </w:p>
    <w:p w:rsidR="00EC69F9" w:rsidRDefault="00EC69F9">
      <w:pPr>
        <w:pStyle w:val="ConsPlusNormal"/>
        <w:jc w:val="right"/>
      </w:pPr>
      <w:r>
        <w:t>Министерства сельского хозяйства</w:t>
      </w:r>
    </w:p>
    <w:p w:rsidR="00EC69F9" w:rsidRDefault="00EC69F9">
      <w:pPr>
        <w:pStyle w:val="ConsPlusNormal"/>
        <w:jc w:val="right"/>
      </w:pPr>
      <w:r>
        <w:t>Пензенской области</w:t>
      </w:r>
    </w:p>
    <w:p w:rsidR="00EC69F9" w:rsidRDefault="00EC69F9">
      <w:pPr>
        <w:pStyle w:val="ConsPlusNormal"/>
        <w:jc w:val="right"/>
      </w:pPr>
      <w:r>
        <w:t>от 23 ноября 2010 г. N 1174</w:t>
      </w:r>
    </w:p>
    <w:p w:rsidR="00EC69F9" w:rsidRDefault="00EC69F9">
      <w:pPr>
        <w:pStyle w:val="ConsPlusNormal"/>
        <w:jc w:val="both"/>
      </w:pPr>
    </w:p>
    <w:p w:rsidR="00EC69F9" w:rsidRDefault="00EC69F9">
      <w:pPr>
        <w:pStyle w:val="ConsPlusTitle"/>
        <w:jc w:val="center"/>
      </w:pPr>
      <w:bookmarkStart w:id="0" w:name="P32"/>
      <w:bookmarkEnd w:id="0"/>
      <w:r>
        <w:t>ПОРЯДОК</w:t>
      </w:r>
    </w:p>
    <w:p w:rsidR="00EC69F9" w:rsidRDefault="00EC69F9">
      <w:pPr>
        <w:pStyle w:val="ConsPlusTitle"/>
        <w:jc w:val="center"/>
      </w:pPr>
      <w:r>
        <w:t xml:space="preserve">РАЗРАБОТКИ СХЕМЫ РАЗМЕЩЕНИЯ </w:t>
      </w:r>
      <w:proofErr w:type="gramStart"/>
      <w:r>
        <w:t>НЕСТАЦИОНАРНЫХ</w:t>
      </w:r>
      <w:proofErr w:type="gramEnd"/>
    </w:p>
    <w:p w:rsidR="00EC69F9" w:rsidRDefault="00EC69F9">
      <w:pPr>
        <w:pStyle w:val="ConsPlusTitle"/>
        <w:jc w:val="center"/>
      </w:pPr>
      <w:r>
        <w:t>ТОРГОВЫХ ОБЪЕКТОВ НА ТЕРРИТОРИИ ПЕНЗЕНСКОЙ ОБЛАСТИ</w:t>
      </w:r>
    </w:p>
    <w:p w:rsidR="00EC69F9" w:rsidRDefault="00EC69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C69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69F9" w:rsidRDefault="00EC69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69F9" w:rsidRDefault="00EC69F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Минсельхоза Пензенской обл.</w:t>
            </w:r>
            <w:proofErr w:type="gramEnd"/>
          </w:p>
          <w:p w:rsidR="00EC69F9" w:rsidRDefault="00EC69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23.07.2012 </w:t>
            </w:r>
            <w:hyperlink r:id="rId9" w:history="1">
              <w:r>
                <w:rPr>
                  <w:color w:val="0000FF"/>
                </w:rPr>
                <w:t>N 1510</w:t>
              </w:r>
            </w:hyperlink>
            <w:r>
              <w:rPr>
                <w:color w:val="392C69"/>
              </w:rPr>
              <w:t xml:space="preserve">, от 05.11.2015 </w:t>
            </w:r>
            <w:hyperlink r:id="rId10" w:history="1">
              <w:r>
                <w:rPr>
                  <w:color w:val="0000FF"/>
                </w:rPr>
                <w:t>N 575</w:t>
              </w:r>
            </w:hyperlink>
            <w:r>
              <w:rPr>
                <w:color w:val="392C69"/>
              </w:rPr>
              <w:t xml:space="preserve">, от 21.06.2016 </w:t>
            </w:r>
            <w:hyperlink r:id="rId11" w:history="1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C69F9" w:rsidRDefault="00EC69F9">
      <w:pPr>
        <w:pStyle w:val="ConsPlusNormal"/>
        <w:jc w:val="both"/>
      </w:pPr>
    </w:p>
    <w:p w:rsidR="00EC69F9" w:rsidRDefault="00EC69F9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 xml:space="preserve">Настоящий Порядок разработан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29.09.2010 N 772 "Об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объектов" и устанавливает порядок разработки органами</w:t>
      </w:r>
      <w:proofErr w:type="gramEnd"/>
      <w:r>
        <w:t xml:space="preserve"> местного самоуправления муниципальных </w:t>
      </w:r>
      <w:proofErr w:type="gramStart"/>
      <w:r>
        <w:t>образований Пензенской области схем размещения нестационарных торговых объектов</w:t>
      </w:r>
      <w:proofErr w:type="gramEnd"/>
      <w:r>
        <w:t xml:space="preserve"> на земельных участках, в зданиях, строениях, сооружениях, находящихся в государственной или муниципальной собственности.</w:t>
      </w:r>
    </w:p>
    <w:p w:rsidR="00EC69F9" w:rsidRDefault="00EC69F9">
      <w:pPr>
        <w:pStyle w:val="ConsPlusNormal"/>
        <w:jc w:val="both"/>
      </w:pPr>
      <w:r>
        <w:t xml:space="preserve">(п. 1 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23.07.2012 N 1510)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2. Схема размещения нестационарных торговых объектов (далее - схема) разрабатывается и утверждается органами местного самоуправления муниципальных образований Пензенской области, определенными в соответствии с уставами муниципальных образований (далее - уполномоченный орган местного самоуправления).</w:t>
      </w:r>
    </w:p>
    <w:p w:rsidR="00EC69F9" w:rsidRDefault="00EC69F9">
      <w:pPr>
        <w:pStyle w:val="ConsPlusNormal"/>
        <w:spacing w:before="220"/>
        <w:ind w:firstLine="540"/>
        <w:jc w:val="both"/>
      </w:pPr>
      <w:proofErr w:type="gramStart"/>
      <w:r>
        <w:t>Включение (исключение) нестационарных торговых объектов в схему, изменение данных, содержащихся в схеме, осуществляется по инициативе уполномоченного органа местного самоуправления, в том числе при поступлении предложений от федерального органа исполнительной власти или органа исполнительной власти субъекта Российской Федерации, осуществляющих полномочия собственника имущества, а также от заинтересованных юридических лиц, индивидуальных предпринимателей (далее - заинтересованные лица).</w:t>
      </w:r>
      <w:proofErr w:type="gramEnd"/>
    </w:p>
    <w:p w:rsidR="00EC69F9" w:rsidRDefault="00EC69F9">
      <w:pPr>
        <w:pStyle w:val="ConsPlusNormal"/>
        <w:spacing w:before="220"/>
        <w:ind w:firstLine="540"/>
        <w:jc w:val="both"/>
      </w:pPr>
      <w:r>
        <w:t>Исключение нестационарных торговых объектов из схемы, изменение данных, содержащихся в схеме, осуществляется уполномоченным органом местного самоуправления с учетом требований законодательства Российской Федерации при наличии следующих оснований: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1) изменение нормативов минимальной обеспеченности населения площадью торговых объектов;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2) истечение установленного в схеме периода размещения нестационарного торгового объекта;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 xml:space="preserve">3) строительство, реконструкция, ремонт объектов систем </w:t>
      </w:r>
      <w:proofErr w:type="spellStart"/>
      <w:r>
        <w:t>электро</w:t>
      </w:r>
      <w:proofErr w:type="spellEnd"/>
      <w:r>
        <w:t>-, газоснабжения, объектов систем теплоснабжения, объектов централизованных систем горячего водоснабжения, холодного водоснабжения и (или) водоотведения федерального, регионального или местного значения, ремонт или реконструкция автомобильных дорог влечет невозможность размещения нестационарного торгового объекта в указанном месте;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4) принято в установленном действующим законодательством порядке решение о резервировании или изъятии земельного участка, на котором размещен нестационарный торговый объект, для государственных или муниципальных нужд.</w:t>
      </w:r>
    </w:p>
    <w:p w:rsidR="00EC69F9" w:rsidRDefault="00EC69F9">
      <w:pPr>
        <w:pStyle w:val="ConsPlusNormal"/>
        <w:jc w:val="both"/>
      </w:pPr>
      <w:r>
        <w:t xml:space="preserve">(п. 2 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21.06.2016 N 242)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3. Схема разрабатывается в соответствии с действующим законодательством.</w:t>
      </w:r>
    </w:p>
    <w:p w:rsidR="00EC69F9" w:rsidRDefault="00EC69F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05.11.2015 N 575)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 xml:space="preserve">4. Схема оформляется в виде текстового документа с приложением </w:t>
      </w:r>
      <w:proofErr w:type="spellStart"/>
      <w:r>
        <w:t>план-схем</w:t>
      </w:r>
      <w:proofErr w:type="spellEnd"/>
      <w:r>
        <w:t xml:space="preserve">, </w:t>
      </w:r>
      <w:proofErr w:type="gramStart"/>
      <w:r>
        <w:t>являющихся</w:t>
      </w:r>
      <w:proofErr w:type="gramEnd"/>
      <w:r>
        <w:t xml:space="preserve"> составной и неотъемлемой его частью.</w:t>
      </w:r>
    </w:p>
    <w:p w:rsidR="00EC69F9" w:rsidRDefault="00EC69F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21.06.2016 N 242)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5. При разработке схем учитывается необходимость обеспечения устойчивого развития территорий и достижения нормативов минимальной обеспеченности населения площадью торговых объектов.</w:t>
      </w:r>
    </w:p>
    <w:p w:rsidR="00EC69F9" w:rsidRDefault="00EC69F9">
      <w:pPr>
        <w:pStyle w:val="ConsPlusNormal"/>
        <w:spacing w:before="220"/>
        <w:ind w:firstLine="540"/>
        <w:jc w:val="both"/>
      </w:pPr>
      <w:bookmarkStart w:id="1" w:name="P54"/>
      <w:bookmarkEnd w:id="1"/>
      <w:r>
        <w:t xml:space="preserve">6. Схема должна содержать информацию об адресе или адресном обозначении </w:t>
      </w:r>
      <w:r>
        <w:lastRenderedPageBreak/>
        <w:t>нестационарного торгового объекта, типе нестационарного торгового объекта в соответствии с "</w:t>
      </w:r>
      <w:hyperlink r:id="rId18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51303-2013</w:t>
        </w:r>
      </w:hyperlink>
      <w:r>
        <w:t>. Национальный стандарт Российской Федерации. Торговля. Термины и определения", группе товаров, размере площади места размещения нестационарного торгового объекта, периоде размещения и предельной высоте нестационарного торгового объекта.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 xml:space="preserve">Расположение на месте и границы нестационарных торговых объектов определяются </w:t>
      </w:r>
      <w:proofErr w:type="spellStart"/>
      <w:proofErr w:type="gramStart"/>
      <w:r>
        <w:t>план-схемами</w:t>
      </w:r>
      <w:proofErr w:type="spellEnd"/>
      <w:proofErr w:type="gramEnd"/>
      <w:r>
        <w:t xml:space="preserve"> границ предполагаемых к использованию земель или части земельного участка на кадастровом плане территорий, выполненными в отношении каждого нестационарного торгового объекта, с указанием координат характерных точек территории (с использованием системы координат, применяемой при ведении государственного кадастра недвижимости).</w:t>
      </w:r>
    </w:p>
    <w:p w:rsidR="00EC69F9" w:rsidRDefault="00EC69F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21.06.2016 N 242)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7. Схемой должно предусматриваться размещение не менее чем шестьдесят процентов нестационарных торговых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объектов.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8. Порядок рассмотрения предложений заинтересованных лиц о включении нестационарных торговых объектов в схему.</w:t>
      </w:r>
    </w:p>
    <w:p w:rsidR="00EC69F9" w:rsidRDefault="00EC69F9">
      <w:pPr>
        <w:pStyle w:val="ConsPlusNormal"/>
        <w:spacing w:before="220"/>
        <w:ind w:firstLine="540"/>
        <w:jc w:val="both"/>
      </w:pPr>
      <w:bookmarkStart w:id="2" w:name="P59"/>
      <w:bookmarkEnd w:id="2"/>
      <w:r>
        <w:t>8.1. Для включения нестационарных торговых объектов в схему заинтересованные лица представляют в уполномоченный орган местного самоуправления следующие документы: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- заявление с указанием информации об адресе или адресном обозначении предполагаемого к размещению нестационарного торгового объекта, типе нестационарного торгового объекта в соответствии с "</w:t>
      </w:r>
      <w:hyperlink r:id="rId20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51303-2013</w:t>
        </w:r>
      </w:hyperlink>
      <w:r>
        <w:t xml:space="preserve">. Национальный стандарт Российской Федерации. Торговля. Термины и определения", группе товаров, размере площади места размещения нестационарного торгового объекта, периоде размещения и предельной высоте нестационарного торгового объекта. </w:t>
      </w:r>
      <w:proofErr w:type="gramStart"/>
      <w:r>
        <w:t xml:space="preserve">К заявлению прилагается план-схема расположения предполагаемого к размещению нестационарного торгового объекта, подготовленная в соответствии с требованиями </w:t>
      </w:r>
      <w:hyperlink w:anchor="P54" w:history="1">
        <w:r>
          <w:rPr>
            <w:color w:val="0000FF"/>
          </w:rPr>
          <w:t>пункта 6</w:t>
        </w:r>
      </w:hyperlink>
      <w:r>
        <w:t xml:space="preserve"> настоящего Порядка;</w:t>
      </w:r>
      <w:proofErr w:type="gramEnd"/>
    </w:p>
    <w:p w:rsidR="00EC69F9" w:rsidRDefault="00EC69F9">
      <w:pPr>
        <w:pStyle w:val="ConsPlusNormal"/>
        <w:spacing w:before="220"/>
        <w:ind w:firstLine="540"/>
        <w:jc w:val="both"/>
      </w:pPr>
      <w:r>
        <w:t>- копию документа, удостоверяющего личность заявителя (для индивидуальных предпринимателей), либо копию документа, удостоверяющего личность представителя юридического лица;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- копию документа, удостоверяющего права (полномочия) представителя, если с заявлением обращается представитель заявителя;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- копию свидетельства о государственной регистрации индивидуального предпринимателя либо юридического лица, предоставляется по желанию. При его отсутствии уполномоченный орган местного самоуправления запрашивает необходимую информацию у уполномоченных органов в рамках межведомственного взаимодействия.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8.2. Уполномоченный орган местного самоуправления:</w:t>
      </w:r>
    </w:p>
    <w:p w:rsidR="00EC69F9" w:rsidRDefault="00EC69F9">
      <w:pPr>
        <w:pStyle w:val="ConsPlusNormal"/>
        <w:spacing w:before="220"/>
        <w:ind w:firstLine="540"/>
        <w:jc w:val="both"/>
      </w:pPr>
      <w:proofErr w:type="gramStart"/>
      <w:r>
        <w:t>- регистрирует заявления в порядке их поступления в специальном журнале регистрации, который пронумерован, прошнурован и скреплен печатью;</w:t>
      </w:r>
      <w:proofErr w:type="gramEnd"/>
    </w:p>
    <w:p w:rsidR="00EC69F9" w:rsidRDefault="00EC69F9">
      <w:pPr>
        <w:pStyle w:val="ConsPlusNormal"/>
        <w:spacing w:before="220"/>
        <w:ind w:firstLine="540"/>
        <w:jc w:val="both"/>
      </w:pPr>
      <w:r>
        <w:t xml:space="preserve">- в течение 20 рабочих дней </w:t>
      </w:r>
      <w:proofErr w:type="gramStart"/>
      <w:r>
        <w:t>с даты регистрации</w:t>
      </w:r>
      <w:proofErr w:type="gramEnd"/>
      <w:r>
        <w:t xml:space="preserve"> заявления рассматривает представленные документы на соответствие положениям настоящего Порядка и принимает решение о включении нестационарного торгового объекта в схему (об отказе во включении нестационарного торгового объекта в схему).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- в течение последующих трех рабочих дней со дня рассмотрения представленных документов письменно уведомляет о принятом решении заинтересованное лицо.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lastRenderedPageBreak/>
        <w:t>Включение нестационарного торгового объекта в схему осуществляется уполномоченным органом местного самоуправления в течение 30 дней со дня принятия решения о включении нестационарного торгового объекта в схему в порядке, установленном для разработки и утверждения схем.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8.3. Уполномоченный орган местного самоуправления отказывает во включении нестационарного торгового объекта в схему в случае, если: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- принято в установленном действующим законодательством порядке решение о резервировании или изъятии земельного участка, на котором предполагается размещение нестационарного торгового объекта, для государственных или муниципальных нужд;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 xml:space="preserve">- строительство, реконструкция, ремонт объектов систем </w:t>
      </w:r>
      <w:proofErr w:type="spellStart"/>
      <w:r>
        <w:t>электро</w:t>
      </w:r>
      <w:proofErr w:type="spellEnd"/>
      <w:r>
        <w:t>-, газоснабжения, объектов систем теплоснабжения, объектов централизованных систем горячего водоснабжения, холодного водоснабжения и (или) водоотведения федерального, регионального или местного значения, ремонт или реконструкция автомобильных дорог влечет невозможность размещения нестационарного торгового объекта в предполагаемом месте;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- предполагаемое размещение нестационарного торгового объекта может повлечь нарушения требований действующего законодательства;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- в месте предполагаемого размещения нестационарного торгового объекта отсутствуют неиспользуемые земельные участки, здания, строения и сооружения, находящиеся в государственной и муниципальной собственности, а также установлены законодательством Российской Федерации ограничения в их обороте;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 xml:space="preserve">- не представлены в полном объеме документы, предусмотренные </w:t>
      </w:r>
      <w:hyperlink w:anchor="P59" w:history="1">
        <w:r>
          <w:rPr>
            <w:color w:val="0000FF"/>
          </w:rPr>
          <w:t>подпунктом 8.1</w:t>
        </w:r>
      </w:hyperlink>
      <w:r>
        <w:t xml:space="preserve"> настоящего пункта;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- размещение нестационарного торгового объекта предполагается по адресному ориентиру, находящемуся: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а) в охранных зонах коммуникаций;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б) в охранных зонах и границах территорий объектов культурного наследия местного, регионального и федерального назначения;</w:t>
      </w:r>
    </w:p>
    <w:p w:rsidR="00EC69F9" w:rsidRDefault="00EC69F9">
      <w:pPr>
        <w:pStyle w:val="ConsPlusNormal"/>
        <w:spacing w:before="220"/>
        <w:ind w:firstLine="540"/>
        <w:jc w:val="both"/>
      </w:pPr>
      <w:proofErr w:type="gramStart"/>
      <w:r>
        <w:t xml:space="preserve">в) на землях особо охраняемых природных территорий, в зонах охраны гидрометеорологических станций, в первой зоне санитарной охраны источников водоснабжения и площадок водопроводных сооружений, в первой зоне округа санитарной охраны курортов на минеральных источниках, лечебных грязях, санаториев, бальнеологических лечебниц, пансионатов, если проектируемые объекты не связаны с эксплуатацией природных лечебных средств курортов, в </w:t>
      </w:r>
      <w:proofErr w:type="spellStart"/>
      <w:r>
        <w:t>водоохранных</w:t>
      </w:r>
      <w:proofErr w:type="spellEnd"/>
      <w:r>
        <w:t xml:space="preserve"> зонах и прибрежных защитных полосах;</w:t>
      </w:r>
      <w:proofErr w:type="gramEnd"/>
    </w:p>
    <w:p w:rsidR="00EC69F9" w:rsidRDefault="00EC69F9">
      <w:pPr>
        <w:pStyle w:val="ConsPlusNormal"/>
        <w:spacing w:before="220"/>
        <w:ind w:firstLine="540"/>
        <w:jc w:val="both"/>
      </w:pPr>
      <w:r>
        <w:t>г) в границах красных линий, находящихся полностью или частично.</w:t>
      </w:r>
    </w:p>
    <w:p w:rsidR="00EC69F9" w:rsidRDefault="00EC69F9">
      <w:pPr>
        <w:pStyle w:val="ConsPlusNormal"/>
        <w:jc w:val="both"/>
      </w:pPr>
      <w:r>
        <w:t xml:space="preserve">(п. 8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21.06.2016 N 242)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>9. Утвержденные органами местного самоуправления муниципальных образований Пензенской области схемы и вносимые в них изменения подлежат опубликованию в порядке, установленном для официального опубликования муниципальных правовых актов, а также размещению на официальном сайте органа местного самоуправления в информационно-телекоммуникационной сети Интернет.</w:t>
      </w:r>
    </w:p>
    <w:p w:rsidR="00EC69F9" w:rsidRDefault="00EC69F9">
      <w:pPr>
        <w:pStyle w:val="ConsPlusNormal"/>
        <w:spacing w:before="220"/>
        <w:ind w:firstLine="540"/>
        <w:jc w:val="both"/>
      </w:pPr>
      <w:r>
        <w:t xml:space="preserve">10. Утверждение схемы на земельных участках, в зданиях, строениях, сооружениях, находящихся в государственной и муниципальной собственности, внесение в нее изменений не является основанием для пересмотра мест размещения нестационарных торговых объектов, </w:t>
      </w:r>
      <w:r>
        <w:lastRenderedPageBreak/>
        <w:t>строительство, реконструкция или эксплуатация которых были начаты до утверждения указанной схемы.</w:t>
      </w:r>
    </w:p>
    <w:p w:rsidR="00EC69F9" w:rsidRDefault="00EC69F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23.07.2012 N 1510)</w:t>
      </w:r>
    </w:p>
    <w:p w:rsidR="00EC69F9" w:rsidRDefault="00EC69F9">
      <w:pPr>
        <w:pStyle w:val="ConsPlusNormal"/>
        <w:jc w:val="both"/>
      </w:pPr>
    </w:p>
    <w:p w:rsidR="00EC69F9" w:rsidRDefault="00EC69F9">
      <w:pPr>
        <w:pStyle w:val="ConsPlusNormal"/>
        <w:jc w:val="both"/>
      </w:pPr>
    </w:p>
    <w:p w:rsidR="00EC69F9" w:rsidRDefault="00EC69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15B4" w:rsidRDefault="001115B4"/>
    <w:sectPr w:rsidR="001115B4" w:rsidSect="00A10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9F9"/>
    <w:rsid w:val="001115B4"/>
    <w:rsid w:val="00EC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6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6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3CE784008B90B4E259D15E72DFA3FCF1C647BADE5C7CD7F2F1FE2C8FF8E110B61560A27C762449AD0F6AFE6A2C90F574B050665BA027F534C4F58BdE46I" TargetMode="External"/><Relationship Id="rId13" Type="http://schemas.openxmlformats.org/officeDocument/2006/relationships/hyperlink" Target="consultantplus://offline/ref=AF3CE784008B90B4E259CF5364B3FDF3F1CD1CB4D75D7F81A9A0F87BD0A8E745E4553EFB3F333748AA116CF669d24EI" TargetMode="External"/><Relationship Id="rId18" Type="http://schemas.openxmlformats.org/officeDocument/2006/relationships/hyperlink" Target="consultantplus://offline/ref=AF3CE784008B90B4E259CF5364B3FDF3F2CD1FB5DC577F81A9A0F87BD0A8E745E4553EFB3F333748AA116CF669d24E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F3CE784008B90B4E259D15E72DFA3FCF1C647BADE5F72D7F1F2FE2C8FF8E110B61560A27C762449AD0F6EF7612C90F574B050665BA027F534C4F58BdE46I" TargetMode="External"/><Relationship Id="rId7" Type="http://schemas.openxmlformats.org/officeDocument/2006/relationships/hyperlink" Target="consultantplus://offline/ref=AF3CE784008B90B4E259CF5364B3FDF3F3CD18B0D7597F81A9A0F87BD0A8E745F65566F73F322849AA043AA72C72C9A431FB5D6144BC27F3d243I" TargetMode="External"/><Relationship Id="rId12" Type="http://schemas.openxmlformats.org/officeDocument/2006/relationships/hyperlink" Target="consultantplus://offline/ref=AF3CE784008B90B4E259CF5364B3FDF3F3CD18B0D7597F81A9A0F87BD0A8E745F65566F73F322849AA043AA72C72C9A431FB5D6144BC27F3d243I" TargetMode="External"/><Relationship Id="rId17" Type="http://schemas.openxmlformats.org/officeDocument/2006/relationships/hyperlink" Target="consultantplus://offline/ref=AF3CE784008B90B4E259D15E72DFA3FCF1C647BADE5F72D7F1F2FE2C8FF8E110B61560A27C762449AD0F6EF76C2C90F574B050665BA027F534C4F58BdE46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3CE784008B90B4E259D15E72DFA3FCF1C647BAD65775DFF3FFA32687A1ED12B11A3FB57B3F2848AD0F6EF0637395E065E85D6744BE20EC28C6F4d843I" TargetMode="External"/><Relationship Id="rId20" Type="http://schemas.openxmlformats.org/officeDocument/2006/relationships/hyperlink" Target="consultantplus://offline/ref=AF3CE784008B90B4E259CF5364B3FDF3F2CD1FB5DC577F81A9A0F87BD0A8E745E4553EFB3F333748AA116CF669d24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3CE784008B90B4E259D15E72DFA3FCF1C647BADE5F72D7F1F2FE2C8FF8E110B61560A27C762449AD0F6EF66D2C90F574B050665BA027F534C4F58BdE46I" TargetMode="External"/><Relationship Id="rId11" Type="http://schemas.openxmlformats.org/officeDocument/2006/relationships/hyperlink" Target="consultantplus://offline/ref=AF3CE784008B90B4E259D15E72DFA3FCF1C647BADE5F72D7F1F2FE2C8FF8E110B61560A27C762449AD0F6EF66D2C90F574B050665BA027F534C4F58BdE46I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AF3CE784008B90B4E259D15E72DFA3FCF1C647BAD65775DFF3FFA32687A1ED12B11A3FB57B3F2848AD0F6EF3637395E065E85D6744BE20EC28C6F4d843I" TargetMode="External"/><Relationship Id="rId15" Type="http://schemas.openxmlformats.org/officeDocument/2006/relationships/hyperlink" Target="consultantplus://offline/ref=AF3CE784008B90B4E259D15E72DFA3FCF1C647BADE5F72D7F1F2FE2C8FF8E110B61560A27C762449AD0F6EF66E2C90F574B050665BA027F534C4F58BdE46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F3CE784008B90B4E259D15E72DFA3FCF1C647BAD65775DFF3FFA32687A1ED12B11A3FB57B3F2848AD0F6EF3637395E065E85D6744BE20EC28C6F4d843I" TargetMode="External"/><Relationship Id="rId19" Type="http://schemas.openxmlformats.org/officeDocument/2006/relationships/hyperlink" Target="consultantplus://offline/ref=AF3CE784008B90B4E259D15E72DFA3FCF1C647BADE5F72D7F1F2FE2C8FF8E110B61560A27C762449AD0F6EF76E2C90F574B050665BA027F534C4F58BdE46I" TargetMode="External"/><Relationship Id="rId4" Type="http://schemas.openxmlformats.org/officeDocument/2006/relationships/hyperlink" Target="consultantplus://offline/ref=AF3CE784008B90B4E259D15E72DFA3FCF1C647BADE5C76D1F6F4FE2C8FF8E110B61560A27C762449AD0F6EF66D2C90F574B050665BA027F534C4F58BdE46I" TargetMode="External"/><Relationship Id="rId9" Type="http://schemas.openxmlformats.org/officeDocument/2006/relationships/hyperlink" Target="consultantplus://offline/ref=AF3CE784008B90B4E259D15E72DFA3FCF1C647BADE5C76D1F6F4FE2C8FF8E110B61560A27C762449AD0F6EF66D2C90F574B050665BA027F534C4F58BdE46I" TargetMode="External"/><Relationship Id="rId14" Type="http://schemas.openxmlformats.org/officeDocument/2006/relationships/hyperlink" Target="consultantplus://offline/ref=AF3CE784008B90B4E259D15E72DFA3FCF1C647BADE5C76D1F6F4FE2C8FF8E110B61560A27C762449AD0F6EF66E2C90F574B050665BA027F534C4F58BdE46I" TargetMode="External"/><Relationship Id="rId22" Type="http://schemas.openxmlformats.org/officeDocument/2006/relationships/hyperlink" Target="consultantplus://offline/ref=AF3CE784008B90B4E259D15E72DFA3FCF1C647BADE5C76D1F6F4FE2C8FF8E110B61560A27C762449AD0F6EF6602C90F574B050665BA027F534C4F58BdE4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2178</Words>
  <Characters>12418</Characters>
  <Application>Microsoft Office Word</Application>
  <DocSecurity>0</DocSecurity>
  <Lines>103</Lines>
  <Paragraphs>29</Paragraphs>
  <ScaleCrop>false</ScaleCrop>
  <Company/>
  <LinksUpToDate>false</LinksUpToDate>
  <CharactersWithSpaces>14567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mpuchkova</cp:lastModifiedBy>
  <cp:revision>1</cp:revision>
  <dcterms:created xsi:type="dcterms:W3CDTF">2019-07-01T08:56:00Z</dcterms:created>
  <dcterms:modified xsi:type="dcterms:W3CDTF">2019-07-01T08:57:00Z</dcterms:modified>
</cp:coreProperties>
</file>