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57" w:rsidRDefault="00526157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526157" w:rsidRDefault="00526157">
      <w:pPr>
        <w:pStyle w:val="ConsPlusNormal"/>
        <w:jc w:val="both"/>
        <w:outlineLvl w:val="0"/>
      </w:pPr>
    </w:p>
    <w:p w:rsidR="00526157" w:rsidRDefault="00526157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УПРАВЛЕНИЕ КУЛЬТУРЫ ГОРОДА ПЕНЗЫ</w:t>
      </w:r>
    </w:p>
    <w:p w:rsidR="00526157" w:rsidRDefault="00526157">
      <w:pPr>
        <w:pStyle w:val="ConsPlusNormal"/>
        <w:ind w:firstLine="540"/>
        <w:jc w:val="both"/>
        <w:rPr>
          <w:b/>
          <w:bCs/>
        </w:rPr>
      </w:pP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от 8 июня 2021 г. N 73</w:t>
      </w:r>
    </w:p>
    <w:p w:rsidR="00526157" w:rsidRDefault="00526157">
      <w:pPr>
        <w:pStyle w:val="ConsPlusNormal"/>
        <w:ind w:firstLine="540"/>
        <w:jc w:val="both"/>
        <w:rPr>
          <w:b/>
          <w:bCs/>
        </w:rPr>
      </w:pP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"СОГЛАСОВАНИЕ ПРОЕКТНОЙ ДОКУМЕНТАЦИИ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ПРОВЕДЕНИЕ РАБОТ ПО СОХРАНЕНИЮ ОБЪЕКТА КУЛЬТУРНОГО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НАСЛЕДИЯ МЕСТНОГО (МУНИЦИПАЛЬНОГО) ЗНАЧЕНИЯ, РАСПОЛОЖЕННОГО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ГОРОДА ПЕНЗЫ"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r>
        <w:fldChar w:fldCharType="begin"/>
      </w:r>
      <w:r>
        <w:instrText xml:space="preserve">HYPERLINK consultantplus://offline/ref=7856362D09E1007B5ED6CEDAE44B1B2AEC6C748CBD38AD4145CACB3347067CF71862A97F3B1BA0EDEAE1AFEA17aBQ8M </w:instrText>
      </w:r>
      <w:r>
        <w:fldChar w:fldCharType="separate"/>
      </w:r>
      <w:r>
        <w:rPr>
          <w:color w:val="0000FF"/>
        </w:rPr>
        <w:t>N 131-ФЗ</w:t>
      </w:r>
      <w:r>
        <w:fldChar w:fldCharType="end"/>
      </w:r>
      <w:r>
        <w:t xml:space="preserve"> "Об общих принципах организации местного самоуправления в Российской Федерации", от 27.07.2010 </w:t>
      </w:r>
      <w:r>
        <w:fldChar w:fldCharType="begin"/>
      </w:r>
      <w:r>
        <w:instrText xml:space="preserve">HYPERLINK consultantplus://offline/ref=7856362D09E1007B5ED6CEDAE44B1B2AEC6F768EBD3CAD4145CACB3347067CF71862A97F3B1BA0EDEAE1AFEA17aBQ8M </w:instrText>
      </w:r>
      <w:r>
        <w:fldChar w:fldCharType="separate"/>
      </w:r>
      <w:r>
        <w:rPr>
          <w:color w:val="0000FF"/>
        </w:rPr>
        <w:t>N 210-ФЗ</w:t>
      </w:r>
      <w:r>
        <w:fldChar w:fldCharType="end"/>
      </w:r>
      <w:r>
        <w:t xml:space="preserve"> "Об организации предоставления государственных и муниципальных услуг", руководствуясь постановлениями администрации города Пензы от 30.08.2011 </w:t>
      </w:r>
      <w:r>
        <w:fldChar w:fldCharType="begin"/>
      </w:r>
      <w:r>
        <w:instrText xml:space="preserve">HYPERLINK consultantplus://offline/ref=7856362D09E1007B5ED6D0D7F2274525E9612B80BD3EA31E1E98CD6418567AA24A22F726685BEBE1E9FBB3EB14A529A55Da0QCM </w:instrText>
      </w:r>
      <w:r>
        <w:fldChar w:fldCharType="separate"/>
      </w:r>
      <w:r>
        <w:rPr>
          <w:color w:val="0000FF"/>
        </w:rPr>
        <w:t>N 766</w:t>
      </w:r>
      <w:r>
        <w:fldChar w:fldCharType="end"/>
      </w:r>
      <w:r>
        <w:t xml:space="preserve"> "Об утверждении порядка разработки и утверждения административных регламентов исполнения муниципальных функций и подведомственных регламентов предоставления муниципальных услуг органами местного самоуправления города Пензы", от 16.11.2012 </w:t>
      </w:r>
      <w:r>
        <w:fldChar w:fldCharType="begin"/>
      </w:r>
      <w:r>
        <w:instrText xml:space="preserve">HYPERLINK consultantplus://offline/ref=7856362D09E1007B5ED6D0D7F2274525E9612B80BD37A1161198CD6418567AA24A22F726685BEBE1E9FBB3EB14A529A55Da0QCM </w:instrText>
      </w:r>
      <w:r>
        <w:fldChar w:fldCharType="separate"/>
      </w:r>
      <w:r>
        <w:rPr>
          <w:color w:val="0000FF"/>
        </w:rPr>
        <w:t>N 1422</w:t>
      </w:r>
      <w:r>
        <w:fldChar w:fldCharType="end"/>
      </w:r>
      <w:r>
        <w:t xml:space="preserve"> "Об утверждении Реестра муниципальных услуг города Пензы", руководствуясь </w:t>
      </w:r>
      <w:r>
        <w:fldChar w:fldCharType="begin"/>
      </w:r>
      <w:r>
        <w:instrText xml:space="preserve">HYPERLINK consultantplus://offline/ref=7856362D09E1007B5ED6D0D7F2274525E9612B80BD37A2151C9DCD6418567AA24A22F7267A5BB3EDEBFFA9E212B07FF41B5A7416B241FFDC0AE7184Da2Q1M </w:instrText>
      </w:r>
      <w:r>
        <w:fldChar w:fldCharType="separate"/>
      </w:r>
      <w:r>
        <w:rPr>
          <w:color w:val="0000FF"/>
        </w:rPr>
        <w:t>ст. 33</w:t>
      </w:r>
      <w:r>
        <w:fldChar w:fldCharType="end"/>
      </w:r>
      <w:r>
        <w:t xml:space="preserve"> Устава города Пензы, от 29.12.2020 </w:t>
      </w:r>
      <w:r>
        <w:fldChar w:fldCharType="begin"/>
      </w:r>
      <w:r>
        <w:instrText xml:space="preserve">HYPERLINK consultantplus://offline/ref=7856362D09E1007B5ED6D0D7F2274525E9612B80BD3AA31E1C9FCD6418567AA24A22F726685BEBE1E9FBB3EB14A529A55Da0QCM </w:instrText>
      </w:r>
      <w:r>
        <w:fldChar w:fldCharType="separate"/>
      </w:r>
      <w:r>
        <w:rPr>
          <w:color w:val="0000FF"/>
        </w:rPr>
        <w:t>N 1897/6</w:t>
      </w:r>
      <w:r>
        <w:fldChar w:fldCharType="end"/>
      </w:r>
      <w:r>
        <w:t xml:space="preserve"> "О внесении изменений в постановление администрации города Пензы от 16.11.2012 N 1422 "Об утверждении Реестра муниципальных услуг города Пензы", приказываю: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r>
        <w:fldChar w:fldCharType="begin"/>
      </w:r>
      <w:r>
        <w:instrText xml:space="preserve">HYPERLINK \l Par32  </w:instrText>
      </w:r>
      <w:r>
        <w:fldChar w:fldCharType="separate"/>
      </w:r>
      <w:r>
        <w:rPr>
          <w:color w:val="0000FF"/>
        </w:rPr>
        <w:t>регламент</w:t>
      </w:r>
      <w:r>
        <w:fldChar w:fldCharType="end"/>
      </w:r>
      <w:r>
        <w:t xml:space="preserve"> предоставления муниципальной услуги "Согласование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Пензы".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 Главному специалисту Управления культуры города Пензы Егоршиной Юлии Ивановне: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обеспечить размещение Административного регламента на официальном сайте администрации города Пензы (http://www.penza-gorod.ru) и "Региональном портале государственных и муниципальных услуг Пензенской области", опубликование в муниципальной газете "Пенза";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разместить Административный регламент на официальном сайте Управления культуры города Пензы.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right"/>
      </w:pPr>
      <w:r>
        <w:t>Начальник Управления</w:t>
      </w:r>
    </w:p>
    <w:p w:rsidR="00526157" w:rsidRDefault="00526157">
      <w:pPr>
        <w:pStyle w:val="ConsPlusNormal"/>
        <w:jc w:val="right"/>
      </w:pPr>
      <w:r>
        <w:t>В.А.ФЕЙГИНА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right"/>
        <w:outlineLvl w:val="0"/>
      </w:pPr>
      <w:r>
        <w:t>Утвержден</w:t>
      </w:r>
    </w:p>
    <w:p w:rsidR="00526157" w:rsidRDefault="00526157">
      <w:pPr>
        <w:pStyle w:val="ConsPlusNormal"/>
        <w:jc w:val="right"/>
      </w:pPr>
      <w:r>
        <w:t>приказом</w:t>
      </w:r>
    </w:p>
    <w:p w:rsidR="00526157" w:rsidRDefault="00526157">
      <w:pPr>
        <w:pStyle w:val="ConsPlusNormal"/>
        <w:jc w:val="right"/>
      </w:pPr>
      <w:r>
        <w:t>Управления культуры</w:t>
      </w:r>
    </w:p>
    <w:p w:rsidR="00526157" w:rsidRDefault="00526157">
      <w:pPr>
        <w:pStyle w:val="ConsPlusNormal"/>
        <w:jc w:val="right"/>
      </w:pPr>
      <w:r>
        <w:t>города Пензы</w:t>
      </w:r>
    </w:p>
    <w:p w:rsidR="00526157" w:rsidRDefault="00526157">
      <w:pPr>
        <w:pStyle w:val="ConsPlusNormal"/>
        <w:jc w:val="right"/>
      </w:pPr>
      <w:r>
        <w:t>от 8 июня 2021 г. N 73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lastRenderedPageBreak/>
        <w:t>АДМИНИСТРАТИВНЫЙ РЕГЛАМЕНТ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"СОГЛАСОВАНИЕ ПРОЕКТНОЙ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ДОКУМЕНТАЦИИ НА ПРОВЕДЕНИЕ РАБОТ ПО СОХРАНЕНИЮ ОБЪЕКТА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КУЛЬТУРНОГО НАСЛЕДИЯ МЕСТНОГО (МУНИЦИПАЛЬНОГО) ЗНАЧЕНИЯ,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РАСПОЛОЖЕННОГО НА ТЕРРИТОРИИ ГОРОДА ПЕНЗЫ"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Предмет регулирования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Пензы" (далее - Административный регламент) устанавливает порядок и стандарт предоставления муниципальной услуги "Согласование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Пензы" (далее - муниципальная услуга), определяет сроки и последовательность административных процедур (действий) Управления культуры города Пензы (далее - Управление) при предоставлении муниципальной услуги.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1.2. Заявителями на предоставление муниципальной услуги является физические или юридические лица, либо их уполномоченные представители (далее - Заявитель).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порядку информирования о предоставлении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1.3.1. Лично;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1.3.2. Непосредственно в здании Управления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1.3.4. Посредством размещения информации на официальном сайте Управления в информационно-телекоммуникационной сети "Интернет" (далее - официальный сайт Управления),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Управления, в чьи должностные обязанности входит предоставление муниципальной услуги: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в) по телефону.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Управления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Управления, осуществляющий консультирование, должен кратко подвести итоги и перечислить меры, которые надо принять заявителю.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Специалист Управления,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Регионального портала государственных и муниципальных услуг Пензенской области (далее - Региональный портал).</w:t>
      </w:r>
    </w:p>
    <w:p w:rsidR="00526157" w:rsidRDefault="00526157">
      <w:pPr>
        <w:pStyle w:val="ConsPlusNormal"/>
        <w:spacing w:before="220"/>
        <w:ind w:firstLine="540"/>
        <w:jc w:val="both"/>
      </w:pPr>
      <w:bookmarkStart w:id="1" w:name="Par65"/>
      <w:bookmarkEnd w:id="1"/>
      <w:r>
        <w:t>1.5. Информация по вопросам предоставления муниципальной услуги включает в себя следующие сведения: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города Пензы.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11) порядок досудебного (внесудебного) обжалования действий (бездействия) и решений, </w:t>
      </w:r>
      <w:r>
        <w:lastRenderedPageBreak/>
        <w:t>принятых (осуществляемых) в ходе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ar65" w:history="1">
        <w:r>
          <w:rPr>
            <w:color w:val="0000FF"/>
          </w:rPr>
          <w:t>пункту 1.5</w:t>
        </w:r>
      </w:hyperlink>
      <w:r>
        <w:t xml:space="preserve"> Административного регламента.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526157" w:rsidRDefault="00526157">
      <w:pPr>
        <w:pStyle w:val="ConsPlusNormal"/>
        <w:spacing w:before="220"/>
        <w:ind w:firstLine="540"/>
        <w:jc w:val="both"/>
      </w:pPr>
      <w:bookmarkStart w:id="2" w:name="Par80"/>
      <w:bookmarkEnd w:id="2"/>
      <w:r>
        <w:t>1.9. Порядок, форма, место размещения и способы получения справочной информации.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ar65" w:history="1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место нахождения и график работы Управления;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справочные телефоны Управления, в том числе номер телефона-автоинформатора (при наличии);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адрес официального сайта Управления, адрес ее электронной почты.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ar80" w:history="1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Управления, на официальном сайте Управления, на Едином портале, Региональном портале.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1.11. Управление обеспечивает размещение и актуализацию справочной информации на информационных стендах Управления, на Едином портале, Региональном портале, официальном сайте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в Управлении.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Управление обеспечивает размещение и актуализацию справочной информации на информационных стендах и официальном сайте Управления.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"Согласование проектной документации на проведение работ по сохранению объекта </w:t>
      </w:r>
      <w:r>
        <w:lastRenderedPageBreak/>
        <w:t>культурного наследия местного (муниципального) значения, расположенного на территории города Пензы".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 местного самоуправления,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2.2. Предоставление муниципальной услуги осуществляет Управлением.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1) письмо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 (далее - письмо о согласовании проектной документации) по </w:t>
      </w:r>
      <w:hyperlink r:id="rId5" w:history="1">
        <w:r>
          <w:rPr>
            <w:color w:val="0000FF"/>
          </w:rPr>
          <w:t>форме</w:t>
        </w:r>
      </w:hyperlink>
      <w:r>
        <w:t>, утвержденной Приложением N 3 к Приказу Министерства культуры Российской Федерации от 05.06.2015 N 1749);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2) уведомление об отказе в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 (далее - уведомление об отказе в согласовании проектной документации).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Правовые основания для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на официальном сайте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Управление обеспечивает размещение и актуализацию перечня нормативных правовых актов, регулирующих предоставление муниципальной услуги, на Региональном портале, официальном сайте Управления.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представить самостоятельно, и документы, которые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представить по собственной инициативе, так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как они подлежат представлению в рамках межведомственного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bookmarkStart w:id="3" w:name="Par129"/>
      <w:bookmarkEnd w:id="3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заявление</w:t>
        </w:r>
      </w:hyperlink>
      <w:r>
        <w:t xml:space="preserve">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Пензы, согласно Приложению N 1 к Приказу Министерства культуры Российской </w:t>
      </w:r>
      <w:r>
        <w:lastRenderedPageBreak/>
        <w:t>Федерации от 05.06.2015 N 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2.6.1 Заявитель может подать заявление и документы, необходимые для предоставления муниципальной услуги, следующими способами: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лично на бумажном носителе по адресу Управления;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посредством почтовой связи по адресу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предоставлении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bookmarkStart w:id="4" w:name="Par154"/>
      <w:bookmarkEnd w:id="4"/>
      <w:r>
        <w:t>2.10. Отказ в согласовании проектной документации осуществляется в следующих случаях: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1) представление неполного комплекта документов, указанных в </w:t>
      </w:r>
      <w:hyperlink w:anchor="Par129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2) наличие недостоверных сведений в документах, указанных в </w:t>
      </w:r>
      <w:hyperlink w:anchor="Par129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3) представленные документы подписаны лицом, не имеющим на то полномочий;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5) несогласие Управления с заключением государственной историко-культурной экспертизы.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Перечень услуг, которые являются необходимыми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обязательными для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взимаемой с заявителя при предоставлении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и способы ее взимания в случаях,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предусмотренных федеральными законами и принимаемыми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ними иными нормативными правовыми актами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Максимальный срок ожидания в очереди при подаче запроса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муниципальной услуги и при получении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результата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при подаче заявления и документов - 15 минут;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регистрации заявления заявителя о предоставлении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помещениям, в которых предоставляется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залу ожидания, местам для заполнения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заявлений, информационным стендам с образцами их заполнения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(включая инвалидов, использующих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кресла-коляски собак-проводников) указанных объектов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законодательством Российской Федерации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о социальной защите инвалидов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2.16. Здание, в котором располагаются помещения Управления, должно быть расположено с учетом транспортной и пешеходной доступности для заявителей.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Помещения Управления должны соответствовать санитарно-эпидемиологическим </w:t>
      </w:r>
      <w:hyperlink r:id="rId7" w:history="1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2.18. Предоставление муниципальной услуги осуществляется в специально выделенном для этой цели помещении.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2.19. Помещение, в котором осуществляется предоставление муниципальной услуги, должно быть оборудовано: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информационным стендом, содержащим визуальную и текстовую информацию;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стульями и столом для возможности оформления документов.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На информационных стендах Управления размещается информация, предусмотренная </w:t>
      </w:r>
      <w:hyperlink w:anchor="Par65" w:history="1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2.21. Места для заполнения документов оборудуются стульями, столом и обеспечиваются бланками заявлений и образцами их заполнения.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2.22. Кабинет приема заявителей должен иметь информационную табличку (вывеску) с указанием: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фамилии, имени, отчества (при наличии) и должности специалиста Управления в чьи должностные обязанности входит предоставление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Рабочее место специалиста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Рабочее место специалиста Управления оснащается настенной вывеской или настольной табличкой с указанием фамилии, имени, отчества (при наличии) и должности.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Средства сигнализации (стационарные "тревожные кнопки" или переносные многофункциональные </w:t>
      </w:r>
      <w:proofErr w:type="spellStart"/>
      <w:r>
        <w:t>брелки</w:t>
      </w:r>
      <w:proofErr w:type="spellEnd"/>
      <w:r>
        <w:t>-коммуникаторы) установлены при входе в здание, где расположен кабинет специалиста предоставляющего муниципальную услугу.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Специалист Управления обеспечен личной нагрудной карточкой (</w:t>
      </w:r>
      <w:proofErr w:type="spellStart"/>
      <w:r>
        <w:t>бейджем</w:t>
      </w:r>
      <w:proofErr w:type="spellEnd"/>
      <w:r>
        <w:t>) с указанием фамилии, имени, отчества (при его наличии) и должности.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При организации рабочего места следует предусмотреть возможность беспрепятственного входа (выхода) специалиста из кабинета.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2.23. В месте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2.25. На территории, прилегающей к зданию Управления,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2.26. Специалисты Управления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2.27. Обеспечивается допуск в здание Управления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2.28. В помещении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2.30. Специалисты Управления оказывают помощь инвалидам в преодолении барьеров, мешающих получению ими услуг наравне с другими лицами.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Показатели доступности и качества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2.31. Показателями доступности предоставления муниципальной услуги являются: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предоставление возможности получения муниципальной услуги в Управлении;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2.32. Показателями качества предоставления муниципальной услуги являются: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соблюдение сроков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2.33. В процессе предоставления муниципальной услуги заявитель взаимодействует со специалистами Управления: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при подаче документов для получения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требования, в том числе учитывающие особенности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многофункциональных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центрах и особенности предоставления муниципальной услуги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2.34. Для получения муниципальной услуги заявителю необходимо подать заявление на предоставление муниципальной услуги в Управлении.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2.35. По выбору заявителя результат предоставления муниципальной услуги направляется в виде: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Управление;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досудебное (внесудебное) обжалование решений и действий (бездействия) Управления, должностного лица Управления, муниципального служащего.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Состав, последовательность и сроки выполнения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(действий), требования к порядку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их выполнения, в том числе особенности выполнения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 в электронной форме,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том числе с использованием системы межведомственного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электронного взаимодействия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3.1.3. Выдача заявителю результата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Прием и регистрация заявления и документов для получения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и определение исполнителя,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ответственного за работу с поступившими заявлением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документами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поступление заявления и документов для предоставления муниципальной услуги в Управление.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3.3. При приеме у заявителя заявления и документов, специалист Управления, ответственный за прием и регистрацию документов, необходимых для предоставления муниципальной услуги: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3.4. В случае, если заявление представлено в Управление посредством почтового отправления, копия заявления о предоставлении муниципальной услуги с отметкой о получении направляется Управлением заявителю посредством почтового отправления.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3.6. Зарегистрированное заявление и документы передаются на рассмотрение начальнику Управления, который определяет ответственного исполнителя за работу с поступившим заявлением и документами (далее - ответственный исполнитель).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3.7. Критерием для приема и регистрации заявления и документов является поступление заявления и документов.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Рассмотрение заявления и документов, принятие решения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подготовка результатов предоставления 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3.12. Ответственный исполнитель: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</w:t>
      </w:r>
      <w:hyperlink w:anchor="Par154" w:history="1">
        <w:r>
          <w:rPr>
            <w:color w:val="0000FF"/>
          </w:rPr>
          <w:t>пунктом 2.10</w:t>
        </w:r>
      </w:hyperlink>
      <w:r>
        <w:t xml:space="preserve"> Административного регламента, ответственный исполнитель подготавливает проект письма о согласовании проектной документации в двух экземплярах и передает их на подпись начальнику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Начальник Управления рассматривает подготовленный проект письма о согласовании проектной документации, подписывает его, после чего специалист Управления ответственный за регистрацию, регистрирует проект письма о согласовании проектной документации в установленном порядке и передает их ответственному исполнителю.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3.14. При наличии оснований для отказа в предоставлении муниципальной услуги ответственный исполнитель готовит проект уведомления об отказе в согласовании проектной документации в двух экземплярах.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согласовании проектной документации передаются на подпись начальника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Отказ в согласовании проектной документации не является препятствием для повторного обращения заявителя за выдачей письма о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3.15. Начальник Управления рассматривает подготовленный проект уведомления об отказе в согласовании проектной документации и подписывает его.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</w:t>
      </w:r>
      <w:hyperlink w:anchor="Par154" w:history="1">
        <w:r>
          <w:rPr>
            <w:color w:val="0000FF"/>
          </w:rPr>
          <w:t>пункте 2.10</w:t>
        </w:r>
      </w:hyperlink>
      <w:r>
        <w:t xml:space="preserve"> Административного регламента.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lastRenderedPageBreak/>
        <w:t>3.18. Способом фиксации результата выполнения административной процедуры является подписанное и зарегистрированное письмо о согласовании проектной документации, либо уведомление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Выдача заявителю результата предоставления муниципальной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3.20. Основанием для начала административной процедуры является подписанное начальником Управления и зарегистрированное письмо о согласовании проектной документации, либо подписанное начальником Управления и зарегистрированное уведомление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3.21. Ответственный исполнитель любым доступным способом с даты регистрации письма о согласовании проектной документации 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3.22. Прибывший в назначенный день в Управление заявитель предъявляет документы, удостоверяющие личность. Ответственный исполнитель проверяет предъявленные документы.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В случае согласования проектной документации, ответственный исполнитель предлагает заявителю указать в </w:t>
      </w:r>
      <w:hyperlink r:id="rId8" w:history="1">
        <w:r>
          <w:rPr>
            <w:color w:val="0000FF"/>
          </w:rPr>
          <w:t>Журнале</w:t>
        </w:r>
      </w:hyperlink>
      <w:r>
        <w:t xml:space="preserve"> учета выдачи согласованной проектной документации (далее - Журнал) по форме, утвержденной приложением N 2 к Приказу Министерства культуры РФ от 05.06.2015 N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После внесения этих данных в Журнал, ответственный исполнитель выдает заявителю письмо о согласовании проектной документации с согласованной проектной документацией, в 1 (одном) экземпляре.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3.25. Критерием для выдачи результата предоставления муниципальной услуги является наличие зарегистрированного в установленном в Управлении порядке делопроизводства письма о согласовании проектной документации, либо уведомления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3.26. Результатом выполнения административной процедуры является письмо о согласовании проектной документации, либо уведомление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3.27. Способом фиксации результата выполнения административной процедуры является </w:t>
      </w:r>
      <w:r>
        <w:lastRenderedPageBreak/>
        <w:t>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3.28. Продолжительность административной процедуры составляет не более 3 (трех) рабочих дней со дня подписания начальником Управления результата предоставления муниципальной услуги.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исправления допущенных опечаток и ошибок в выданных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предоставления муниципальной услуги документах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Управлением заявления об исправлении технической ошибки.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3.30. При обращении об исправлении технической ошибки заявитель представляет: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Управление или в электронной форме посредством информационно-телекоммуникационной сети "Интернет".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3.31. Заявление об исправлении технической ошибки регистрируется специалистом Управления,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проекта письма о согласовании проектной документации либо уведомления об отказе в согласовании проектной документации.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3.36. Ответственный исполнитель передает подготовленный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начальнику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3.37. Начальник Управления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</w:t>
      </w:r>
      <w:r>
        <w:lastRenderedPageBreak/>
        <w:t>заявителю.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Управлении.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документации, либо уведомление об отказе в согласовании проектной документации;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 либо уведомление об отказе в согласовании проектной документации;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Формы контроля за исполнением Административного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регламента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специалистом Управления,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4.2. В Управлении проводятся плановые и внеплановые проверки полноты и качества исполнения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начальником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Внеплановые проверки проводятся в случае необходимости проверки устранения ранее </w:t>
      </w:r>
      <w:r>
        <w:lastRenderedPageBreak/>
        <w:t>выявленных нарушений, а также при поступлении в Управление, жалоб заявителей, связанных с нарушениями при предоставлении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Досудебный (внесудебный) порядок обжалования решений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действий (бездействия) органа, предоставляющего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услугу, а также их должностных лиц,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служащих, работников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Информация для заявителей об их праве на досудебное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(внесудебное) обжалование действий (бездействия) и (или)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решений, принятых (осуществленных) в ходе предоставления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9" w:history="1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10" w:history="1">
        <w:r>
          <w:rPr>
            <w:color w:val="0000FF"/>
          </w:rPr>
          <w:t>главой 2.1</w:t>
        </w:r>
      </w:hyperlink>
      <w:r>
        <w:t xml:space="preserve"> ФЗ N 210-ФЗ.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5.3. 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Органы местного самоуправления, организации и уполномоченные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на рассмотрение жалобы лица, которым может быть направлена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жалоба заявителя в досудебном (внесудебном) порядке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5.6. Жалоба на решения и действия (бездействие) должностных лиц, муниципальных служащих Управления подается начальнику Управления.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>5.7. Жалоба на решения и действия (бездействие) начальника Управления подается главе Администрации города Пензы.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Способы информирования заявителей о порядке подачи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рассмотрения жалобы, в том числе посредством федеральной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информационной системы, обеспечивающей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процесс досудебного (внесудебного) обжалования решений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действий (бездействия), совершенных при предоставлении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Управления, на официальном сайте Управления, Региональном портале, а также в устной и (или) письменной форме.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Перечень нормативных правовых актов, регулирующих порядок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досудебного (внесудебного) обжалования решений и действий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(бездействия) органа, предоставляющего муниципальную услугу,</w:t>
      </w:r>
    </w:p>
    <w:p w:rsidR="00526157" w:rsidRDefault="00526157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его должностных лиц, муниципальных служащих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ФЗ</w:t>
        </w:r>
      </w:hyperlink>
      <w:r>
        <w:t xml:space="preserve"> N 210-ФЗ;</w:t>
      </w:r>
    </w:p>
    <w:p w:rsidR="00526157" w:rsidRDefault="00526157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г. Пензы от 04.09.2019 г. N 1692 "Об утверждении Порядка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услуг".</w:t>
      </w: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jc w:val="both"/>
      </w:pPr>
    </w:p>
    <w:p w:rsidR="00526157" w:rsidRDefault="00526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1A2" w:rsidRDefault="009331A2">
      <w:bookmarkStart w:id="5" w:name="_GoBack"/>
      <w:bookmarkEnd w:id="5"/>
    </w:p>
    <w:sectPr w:rsidR="009331A2" w:rsidSect="004E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7"/>
    <w:rsid w:val="00526157"/>
    <w:rsid w:val="0093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FBE6-FF98-4573-81C5-D1410B6D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6362D09E1007B5ED6CEDAE44B1B2AEA6A778BBB3EAD4145CACB3347067CF70A62F173391FBEE4EFF4F9BB51EE26A75B117815A85DFEDFa1Q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56362D09E1007B5ED6CEDAE44B1B2AEA6A768EBC3EAD4145CACB3347067CF70A62F173391FBEEDE9F4F9BB51EE26A75B117815A85DFEDFa1Q7M" TargetMode="External"/><Relationship Id="rId12" Type="http://schemas.openxmlformats.org/officeDocument/2006/relationships/hyperlink" Target="consultantplus://offline/ref=7856362D09E1007B5ED6D0D7F2274525E9612B80BD3BA7101E96CD6418567AA24A22F726685BEBE1E9FBB3EB14A529A55Da0Q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56362D09E1007B5ED6CEDAE44B1B2AEA6A778BBB3EAD4145CACB3347067CF70A62F173391FBEEFE2F4F9BB51EE26A75B117815A85DFEDFa1Q7M" TargetMode="External"/><Relationship Id="rId11" Type="http://schemas.openxmlformats.org/officeDocument/2006/relationships/hyperlink" Target="consultantplus://offline/ref=7856362D09E1007B5ED6CEDAE44B1B2AEC6F768EBD3CAD4145CACB3347067CF71862A97F3B1BA0EDEAE1AFEA17aBQ8M" TargetMode="External"/><Relationship Id="rId5" Type="http://schemas.openxmlformats.org/officeDocument/2006/relationships/hyperlink" Target="consultantplus://offline/ref=7856362D09E1007B5ED6CEDAE44B1B2AEA6A778BBB3EAD4145CACB3347067CF70A62F1733C14EABDAFAAA0E811A52AA4410D7916aBQ5M" TargetMode="External"/><Relationship Id="rId10" Type="http://schemas.openxmlformats.org/officeDocument/2006/relationships/hyperlink" Target="consultantplus://offline/ref=7856362D09E1007B5ED6CEDAE44B1B2AEC6F768EBD3CAD4145CACB3347067CF70A62F1703817B5B8BABBF8E717BF35A45E117B14B4a5Q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856362D09E1007B5ED6CEDAE44B1B2AEC6F768EBD3CAD4145CACB3347067CF70A62F1703816B5B8BABBF8E717BF35A45E117B14B4a5Q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6987</Words>
  <Characters>39827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2023-11-24T12:16:00Z</dcterms:created>
  <dcterms:modified xsi:type="dcterms:W3CDTF">2023-11-24T12:17:00Z</dcterms:modified>
</cp:coreProperties>
</file>